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CBD1B" w14:textId="626C62E4" w:rsidR="003A66EA" w:rsidRPr="00A03A7D" w:rsidRDefault="003A66EA" w:rsidP="728464D8">
      <w:pPr>
        <w:spacing w:line="480" w:lineRule="auto"/>
        <w:jc w:val="center"/>
        <w:rPr>
          <w:rFonts w:eastAsia="Calibri"/>
          <w:b/>
          <w:bCs/>
        </w:rPr>
      </w:pPr>
      <w:r w:rsidRPr="728464D8">
        <w:rPr>
          <w:rFonts w:eastAsia="Calibri"/>
          <w:b/>
          <w:bCs/>
        </w:rPr>
        <w:t>DOCKET NO</w:t>
      </w:r>
      <w:proofErr w:type="gramStart"/>
      <w:r w:rsidRPr="728464D8">
        <w:rPr>
          <w:rFonts w:eastAsia="Calibri"/>
          <w:b/>
          <w:bCs/>
        </w:rPr>
        <w:t xml:space="preserve">. </w:t>
      </w:r>
      <w:proofErr w:type="gramEnd"/>
      <w:r w:rsidR="00DF709D">
        <w:rPr>
          <w:rFonts w:eastAsia="Calibri"/>
          <w:b/>
          <w:bCs/>
        </w:rPr>
        <w:t>52487</w:t>
      </w:r>
    </w:p>
    <w:p w14:paraId="512F81AF" w14:textId="77777777" w:rsidR="003A66EA" w:rsidRPr="00F665E9" w:rsidRDefault="003A66EA" w:rsidP="003A66EA">
      <w:pPr>
        <w:jc w:val="center"/>
        <w:rPr>
          <w:rFonts w:eastAsia="Calibri"/>
          <w:b/>
        </w:rPr>
      </w:pPr>
    </w:p>
    <w:tbl>
      <w:tblPr>
        <w:tblW w:w="9576" w:type="dxa"/>
        <w:tblLook w:val="00A0" w:firstRow="1" w:lastRow="0" w:firstColumn="1" w:lastColumn="0" w:noHBand="0" w:noVBand="0"/>
      </w:tblPr>
      <w:tblGrid>
        <w:gridCol w:w="4698"/>
        <w:gridCol w:w="450"/>
        <w:gridCol w:w="4428"/>
      </w:tblGrid>
      <w:tr w:rsidR="00E8222C" w14:paraId="24453D0E" w14:textId="77777777" w:rsidTr="003A66EA">
        <w:trPr>
          <w:trHeight w:val="1503"/>
        </w:trPr>
        <w:tc>
          <w:tcPr>
            <w:tcW w:w="4698" w:type="dxa"/>
          </w:tcPr>
          <w:p w14:paraId="28FB902D" w14:textId="58441A5D" w:rsidR="009933A7" w:rsidRDefault="009933A7" w:rsidP="003A66EA">
            <w:pPr>
              <w:rPr>
                <w:rFonts w:eastAsia="Calibri"/>
                <w:b/>
              </w:rPr>
            </w:pPr>
            <w:r w:rsidRPr="00AF65C4">
              <w:rPr>
                <w:rFonts w:eastAsia="Calibri"/>
                <w:b/>
              </w:rPr>
              <w:t xml:space="preserve">APPLICATION OF ENTERGY </w:t>
            </w:r>
            <w:r>
              <w:rPr>
                <w:rFonts w:eastAsia="Calibri"/>
                <w:b/>
              </w:rPr>
              <w:t>TEXAS</w:t>
            </w:r>
            <w:r w:rsidRPr="00AF65C4">
              <w:rPr>
                <w:rFonts w:eastAsia="Calibri"/>
                <w:b/>
              </w:rPr>
              <w:t xml:space="preserve">, </w:t>
            </w:r>
            <w:r>
              <w:rPr>
                <w:rFonts w:eastAsia="Calibri"/>
                <w:b/>
              </w:rPr>
              <w:t>INC.</w:t>
            </w:r>
            <w:r w:rsidRPr="00AF65C4">
              <w:rPr>
                <w:rFonts w:eastAsia="Calibri"/>
                <w:b/>
              </w:rPr>
              <w:t xml:space="preserve"> </w:t>
            </w:r>
            <w:r w:rsidR="002B6B95">
              <w:rPr>
                <w:rFonts w:eastAsia="Calibri"/>
                <w:b/>
              </w:rPr>
              <w:t xml:space="preserve">TO AMEND ITS </w:t>
            </w:r>
            <w:r w:rsidR="00E453B7">
              <w:rPr>
                <w:rFonts w:eastAsia="Calibri"/>
                <w:b/>
              </w:rPr>
              <w:t>CERTIFICATE OF CONVENIENCE</w:t>
            </w:r>
            <w:r>
              <w:rPr>
                <w:rFonts w:eastAsia="Calibri"/>
                <w:b/>
              </w:rPr>
              <w:t xml:space="preserve"> AND NECESSITY </w:t>
            </w:r>
            <w:r w:rsidR="00E453B7">
              <w:rPr>
                <w:rFonts w:eastAsia="Calibri"/>
                <w:b/>
              </w:rPr>
              <w:t xml:space="preserve">TO CONSTRUCT ORANGE COUNTY </w:t>
            </w:r>
            <w:r w:rsidR="00A13E43">
              <w:rPr>
                <w:rFonts w:eastAsia="Calibri"/>
                <w:b/>
              </w:rPr>
              <w:t xml:space="preserve">ADVANCED </w:t>
            </w:r>
            <w:r w:rsidR="00E453B7">
              <w:rPr>
                <w:rFonts w:eastAsia="Calibri"/>
                <w:b/>
              </w:rPr>
              <w:t>POWER STATION</w:t>
            </w:r>
          </w:p>
          <w:p w14:paraId="268EFE5A" w14:textId="5BDE4587" w:rsidR="003A66EA" w:rsidRPr="00F665E9" w:rsidRDefault="003A66EA" w:rsidP="003A66EA">
            <w:pPr>
              <w:rPr>
                <w:rFonts w:eastAsia="Calibri"/>
                <w:b/>
              </w:rPr>
            </w:pPr>
          </w:p>
        </w:tc>
        <w:tc>
          <w:tcPr>
            <w:tcW w:w="450" w:type="dxa"/>
          </w:tcPr>
          <w:p w14:paraId="2003C9B8" w14:textId="77777777" w:rsidR="00B25F11" w:rsidRPr="00DB5112" w:rsidRDefault="00B25F11" w:rsidP="00B25F11">
            <w:pPr>
              <w:jc w:val="center"/>
              <w:rPr>
                <w:b/>
                <w:bCs/>
              </w:rPr>
            </w:pPr>
            <w:r w:rsidRPr="00DB5112">
              <w:rPr>
                <w:b/>
                <w:bCs/>
              </w:rPr>
              <w:t>§</w:t>
            </w:r>
          </w:p>
          <w:p w14:paraId="5453B57E" w14:textId="77777777" w:rsidR="00B25F11" w:rsidRPr="00DB5112" w:rsidRDefault="00B25F11" w:rsidP="00B25F11">
            <w:pPr>
              <w:jc w:val="center"/>
              <w:rPr>
                <w:b/>
                <w:bCs/>
              </w:rPr>
            </w:pPr>
            <w:r w:rsidRPr="00DB5112">
              <w:rPr>
                <w:b/>
                <w:bCs/>
              </w:rPr>
              <w:t>§</w:t>
            </w:r>
          </w:p>
          <w:p w14:paraId="4739ECE9" w14:textId="77777777" w:rsidR="00B25F11" w:rsidRPr="00DB5112" w:rsidRDefault="00B25F11" w:rsidP="00B25F11">
            <w:pPr>
              <w:jc w:val="center"/>
              <w:rPr>
                <w:b/>
                <w:bCs/>
              </w:rPr>
            </w:pPr>
            <w:r w:rsidRPr="00DB5112">
              <w:rPr>
                <w:b/>
                <w:bCs/>
              </w:rPr>
              <w:t>§</w:t>
            </w:r>
          </w:p>
          <w:p w14:paraId="56406669" w14:textId="77777777" w:rsidR="00B25F11" w:rsidRPr="00DB5112" w:rsidRDefault="00B25F11" w:rsidP="00B25F11">
            <w:pPr>
              <w:jc w:val="center"/>
              <w:rPr>
                <w:b/>
                <w:bCs/>
              </w:rPr>
            </w:pPr>
            <w:r w:rsidRPr="00DB5112">
              <w:rPr>
                <w:b/>
                <w:bCs/>
              </w:rPr>
              <w:t>§</w:t>
            </w:r>
          </w:p>
          <w:p w14:paraId="4A92E9D3" w14:textId="77777777" w:rsidR="00B25F11" w:rsidRPr="00DB5112" w:rsidRDefault="00B25F11" w:rsidP="00B25F11">
            <w:pPr>
              <w:jc w:val="center"/>
              <w:rPr>
                <w:b/>
                <w:bCs/>
              </w:rPr>
            </w:pPr>
            <w:r w:rsidRPr="00DB5112">
              <w:rPr>
                <w:b/>
                <w:bCs/>
              </w:rPr>
              <w:t>§</w:t>
            </w:r>
          </w:p>
          <w:p w14:paraId="482D078C" w14:textId="1EDB3CA3" w:rsidR="00B25F11" w:rsidRPr="00DB5112" w:rsidRDefault="00B25F11" w:rsidP="00B25F11">
            <w:pPr>
              <w:jc w:val="center"/>
              <w:rPr>
                <w:b/>
                <w:bCs/>
              </w:rPr>
            </w:pPr>
          </w:p>
          <w:p w14:paraId="5F443F53" w14:textId="77777777" w:rsidR="003A66EA" w:rsidRPr="00F665E9" w:rsidRDefault="003A66EA" w:rsidP="003A66EA">
            <w:pPr>
              <w:rPr>
                <w:rFonts w:eastAsia="Calibri"/>
                <w:b/>
              </w:rPr>
            </w:pPr>
          </w:p>
        </w:tc>
        <w:tc>
          <w:tcPr>
            <w:tcW w:w="4428" w:type="dxa"/>
          </w:tcPr>
          <w:p w14:paraId="583E3FDF" w14:textId="77777777" w:rsidR="003A66EA" w:rsidRDefault="003A66EA" w:rsidP="003A66EA">
            <w:pPr>
              <w:jc w:val="center"/>
              <w:rPr>
                <w:rFonts w:eastAsia="Calibri"/>
                <w:b/>
                <w:bCs/>
              </w:rPr>
            </w:pPr>
          </w:p>
          <w:p w14:paraId="515464A1" w14:textId="77777777" w:rsidR="007817CE" w:rsidRDefault="003A66EA" w:rsidP="003A66EA">
            <w:pPr>
              <w:jc w:val="center"/>
              <w:rPr>
                <w:rFonts w:eastAsia="Calibri"/>
                <w:b/>
                <w:bCs/>
              </w:rPr>
            </w:pPr>
            <w:r>
              <w:rPr>
                <w:rFonts w:eastAsia="Calibri"/>
                <w:b/>
                <w:bCs/>
              </w:rPr>
              <w:t xml:space="preserve">PUBLIC UTILITY COMMISSION </w:t>
            </w:r>
          </w:p>
          <w:p w14:paraId="67253D5A" w14:textId="76560293" w:rsidR="003A66EA" w:rsidRDefault="003A66EA" w:rsidP="003A66EA">
            <w:pPr>
              <w:jc w:val="center"/>
              <w:rPr>
                <w:rFonts w:eastAsia="Calibri"/>
                <w:b/>
                <w:bCs/>
              </w:rPr>
            </w:pPr>
          </w:p>
          <w:p w14:paraId="1AAFA2C1" w14:textId="560F3F4B" w:rsidR="003A66EA" w:rsidRDefault="007817CE" w:rsidP="003A66EA">
            <w:pPr>
              <w:jc w:val="center"/>
              <w:rPr>
                <w:rFonts w:eastAsia="Calibri"/>
                <w:b/>
                <w:bCs/>
              </w:rPr>
            </w:pPr>
            <w:r>
              <w:rPr>
                <w:rFonts w:eastAsia="Calibri"/>
                <w:b/>
                <w:bCs/>
              </w:rPr>
              <w:t>OF TEXAS</w:t>
            </w:r>
          </w:p>
          <w:p w14:paraId="5F037FA8" w14:textId="21FC00FB" w:rsidR="003A66EA" w:rsidRPr="00F665E9" w:rsidRDefault="003A66EA" w:rsidP="003A66EA">
            <w:pPr>
              <w:jc w:val="center"/>
              <w:rPr>
                <w:rFonts w:eastAsia="Calibri"/>
                <w:b/>
              </w:rPr>
            </w:pPr>
          </w:p>
        </w:tc>
      </w:tr>
    </w:tbl>
    <w:p w14:paraId="0F440094" w14:textId="77777777" w:rsidR="003A66EA" w:rsidRDefault="003A66EA" w:rsidP="003A66EA">
      <w:pPr>
        <w:spacing w:line="480" w:lineRule="auto"/>
        <w:jc w:val="center"/>
        <w:rPr>
          <w:rFonts w:eastAsia="Calibri"/>
          <w:b/>
        </w:rPr>
      </w:pPr>
    </w:p>
    <w:p w14:paraId="3ED6F3F9" w14:textId="77777777" w:rsidR="003A66EA" w:rsidRDefault="003A66EA" w:rsidP="003A66EA">
      <w:pPr>
        <w:spacing w:line="480" w:lineRule="auto"/>
        <w:jc w:val="center"/>
        <w:rPr>
          <w:rFonts w:eastAsia="Calibri"/>
          <w:b/>
        </w:rPr>
      </w:pPr>
    </w:p>
    <w:p w14:paraId="575A78DD" w14:textId="77777777" w:rsidR="003A66EA" w:rsidRPr="00F665E9" w:rsidRDefault="003A66EA" w:rsidP="003A66EA">
      <w:pPr>
        <w:spacing w:line="480" w:lineRule="auto"/>
        <w:jc w:val="center"/>
        <w:rPr>
          <w:rFonts w:eastAsia="Calibri"/>
          <w:b/>
        </w:rPr>
      </w:pPr>
    </w:p>
    <w:p w14:paraId="44DB9538" w14:textId="77777777" w:rsidR="003A66EA" w:rsidRPr="00933EA1" w:rsidRDefault="003A66EA" w:rsidP="003A66EA">
      <w:pPr>
        <w:spacing w:line="480" w:lineRule="auto"/>
        <w:jc w:val="center"/>
        <w:rPr>
          <w:b/>
          <w:szCs w:val="20"/>
        </w:rPr>
      </w:pPr>
      <w:r w:rsidRPr="00933EA1">
        <w:rPr>
          <w:b/>
          <w:szCs w:val="20"/>
        </w:rPr>
        <w:t>DIRECT TESTIMONY</w:t>
      </w:r>
    </w:p>
    <w:p w14:paraId="36F86481" w14:textId="77777777" w:rsidR="003A66EA" w:rsidRPr="00933EA1" w:rsidRDefault="003A66EA" w:rsidP="003A66EA">
      <w:pPr>
        <w:spacing w:line="480" w:lineRule="auto"/>
        <w:jc w:val="center"/>
        <w:rPr>
          <w:b/>
          <w:szCs w:val="20"/>
        </w:rPr>
      </w:pPr>
      <w:r w:rsidRPr="00933EA1">
        <w:rPr>
          <w:b/>
          <w:szCs w:val="20"/>
        </w:rPr>
        <w:t>OF</w:t>
      </w:r>
    </w:p>
    <w:p w14:paraId="72347690" w14:textId="0C65D763" w:rsidR="003A66EA" w:rsidRPr="00933EA1" w:rsidRDefault="00DE1E53" w:rsidP="003A66EA">
      <w:pPr>
        <w:spacing w:line="480" w:lineRule="auto"/>
        <w:jc w:val="center"/>
        <w:rPr>
          <w:b/>
        </w:rPr>
      </w:pPr>
      <w:r>
        <w:rPr>
          <w:b/>
        </w:rPr>
        <w:t>NICHOLAS W. OWENS</w:t>
      </w:r>
    </w:p>
    <w:p w14:paraId="61B55A03" w14:textId="77777777" w:rsidR="003A66EA" w:rsidRPr="00933EA1" w:rsidRDefault="003A66EA" w:rsidP="003A66EA">
      <w:pPr>
        <w:spacing w:line="480" w:lineRule="auto"/>
        <w:jc w:val="center"/>
        <w:rPr>
          <w:b/>
        </w:rPr>
      </w:pPr>
    </w:p>
    <w:p w14:paraId="054B0DEB" w14:textId="77777777" w:rsidR="003A66EA" w:rsidRPr="00933EA1" w:rsidRDefault="003A66EA" w:rsidP="003A66EA">
      <w:pPr>
        <w:spacing w:line="480" w:lineRule="auto"/>
        <w:jc w:val="center"/>
        <w:rPr>
          <w:szCs w:val="20"/>
        </w:rPr>
      </w:pPr>
      <w:r w:rsidRPr="00933EA1">
        <w:rPr>
          <w:b/>
          <w:szCs w:val="20"/>
        </w:rPr>
        <w:t>ON BEHALF OF</w:t>
      </w:r>
    </w:p>
    <w:p w14:paraId="2B61A845" w14:textId="77777777" w:rsidR="003A66EA" w:rsidRPr="00A03A7D" w:rsidRDefault="003A66EA" w:rsidP="003A66EA">
      <w:pPr>
        <w:spacing w:line="480" w:lineRule="auto"/>
        <w:jc w:val="center"/>
        <w:rPr>
          <w:b/>
          <w:szCs w:val="20"/>
        </w:rPr>
      </w:pPr>
      <w:r w:rsidRPr="00A03A7D">
        <w:rPr>
          <w:b/>
          <w:szCs w:val="20"/>
        </w:rPr>
        <w:t>ENTERGY TEXAS, INC.</w:t>
      </w:r>
    </w:p>
    <w:p w14:paraId="5C8125DF" w14:textId="77777777" w:rsidR="003A66EA" w:rsidRPr="00933EA1" w:rsidRDefault="003A66EA" w:rsidP="003A66EA">
      <w:pPr>
        <w:spacing w:line="480" w:lineRule="auto"/>
        <w:jc w:val="center"/>
        <w:rPr>
          <w:szCs w:val="20"/>
        </w:rPr>
      </w:pPr>
    </w:p>
    <w:p w14:paraId="6196CECD" w14:textId="77777777" w:rsidR="003A66EA" w:rsidRPr="00C878DD" w:rsidRDefault="003A66EA" w:rsidP="003A66EA">
      <w:pPr>
        <w:spacing w:line="480" w:lineRule="auto"/>
        <w:jc w:val="center"/>
        <w:rPr>
          <w:b/>
          <w:szCs w:val="20"/>
        </w:rPr>
      </w:pPr>
    </w:p>
    <w:p w14:paraId="718872CD" w14:textId="3A562912" w:rsidR="003A66EA" w:rsidRDefault="003A66EA" w:rsidP="003A66EA">
      <w:pPr>
        <w:spacing w:line="480" w:lineRule="auto"/>
        <w:jc w:val="center"/>
        <w:rPr>
          <w:b/>
        </w:rPr>
      </w:pPr>
    </w:p>
    <w:p w14:paraId="167278F3" w14:textId="77777777" w:rsidR="002B6B95" w:rsidRDefault="002B6B95" w:rsidP="003A66EA">
      <w:pPr>
        <w:spacing w:line="480" w:lineRule="auto"/>
        <w:jc w:val="center"/>
        <w:rPr>
          <w:b/>
        </w:rPr>
      </w:pPr>
    </w:p>
    <w:p w14:paraId="1AA904A2" w14:textId="77777777" w:rsidR="003A66EA" w:rsidRDefault="003A66EA" w:rsidP="003A66EA">
      <w:pPr>
        <w:spacing w:line="480" w:lineRule="auto"/>
        <w:jc w:val="center"/>
        <w:rPr>
          <w:b/>
        </w:rPr>
      </w:pPr>
    </w:p>
    <w:p w14:paraId="61236C87" w14:textId="77777777" w:rsidR="003A66EA" w:rsidRDefault="003A66EA" w:rsidP="003A66EA">
      <w:pPr>
        <w:spacing w:line="480" w:lineRule="auto"/>
        <w:jc w:val="center"/>
        <w:rPr>
          <w:b/>
        </w:rPr>
      </w:pPr>
    </w:p>
    <w:p w14:paraId="2707614B" w14:textId="77777777" w:rsidR="003A66EA" w:rsidRDefault="003A66EA" w:rsidP="003A66EA">
      <w:pPr>
        <w:spacing w:line="480" w:lineRule="auto"/>
        <w:jc w:val="center"/>
        <w:rPr>
          <w:b/>
        </w:rPr>
      </w:pPr>
    </w:p>
    <w:p w14:paraId="612C4373" w14:textId="30C4CD3B" w:rsidR="003A66EA" w:rsidRDefault="00C12B18" w:rsidP="003A66EA">
      <w:pPr>
        <w:autoSpaceDE w:val="0"/>
        <w:autoSpaceDN w:val="0"/>
        <w:adjustRightInd w:val="0"/>
        <w:spacing w:line="480" w:lineRule="auto"/>
        <w:jc w:val="center"/>
        <w:rPr>
          <w:b/>
          <w:bCs/>
        </w:rPr>
        <w:sectPr w:rsidR="003A66EA" w:rsidSect="003A66EA">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pgNumType w:fmt="lowerRoman" w:start="1"/>
          <w:cols w:space="720"/>
          <w:titlePg/>
          <w:docGrid w:linePitch="360"/>
        </w:sectPr>
      </w:pPr>
      <w:r>
        <w:rPr>
          <w:b/>
        </w:rPr>
        <w:t>SEPTEMBER</w:t>
      </w:r>
      <w:r w:rsidR="009712D1">
        <w:rPr>
          <w:b/>
        </w:rPr>
        <w:t xml:space="preserve"> </w:t>
      </w:r>
      <w:r w:rsidR="00594132">
        <w:rPr>
          <w:b/>
        </w:rPr>
        <w:t>202</w:t>
      </w:r>
      <w:r w:rsidR="00E453B7">
        <w:rPr>
          <w:b/>
        </w:rPr>
        <w:t>1</w:t>
      </w:r>
    </w:p>
    <w:p w14:paraId="0273907D" w14:textId="77777777" w:rsidR="00684C52" w:rsidRDefault="00684C52" w:rsidP="00684C52">
      <w:pPr>
        <w:jc w:val="center"/>
        <w:rPr>
          <w:b/>
        </w:rPr>
      </w:pPr>
      <w:r>
        <w:rPr>
          <w:b/>
        </w:rPr>
        <w:lastRenderedPageBreak/>
        <w:t xml:space="preserve">ENTERGY TEXAS, INC. </w:t>
      </w:r>
    </w:p>
    <w:p w14:paraId="267AAD34" w14:textId="22810A9F" w:rsidR="00684C52" w:rsidRDefault="00684C52" w:rsidP="00684C52">
      <w:pPr>
        <w:jc w:val="center"/>
        <w:rPr>
          <w:b/>
        </w:rPr>
      </w:pPr>
      <w:r>
        <w:rPr>
          <w:b/>
        </w:rPr>
        <w:t xml:space="preserve">DIRECT TESTIMONY OF </w:t>
      </w:r>
      <w:r w:rsidR="00DE1E53">
        <w:rPr>
          <w:b/>
        </w:rPr>
        <w:t>NICHOLAS W. OWENS</w:t>
      </w:r>
    </w:p>
    <w:p w14:paraId="4B537AA9" w14:textId="5F349891" w:rsidR="00684C52" w:rsidRDefault="00684C52" w:rsidP="00684C52">
      <w:pPr>
        <w:jc w:val="center"/>
        <w:rPr>
          <w:b/>
        </w:rPr>
      </w:pPr>
      <w:r>
        <w:rPr>
          <w:b/>
        </w:rPr>
        <w:t>DOCKET NO</w:t>
      </w:r>
      <w:proofErr w:type="gramStart"/>
      <w:r>
        <w:rPr>
          <w:b/>
        </w:rPr>
        <w:t xml:space="preserve">. </w:t>
      </w:r>
      <w:proofErr w:type="gramEnd"/>
      <w:r w:rsidR="00DF709D">
        <w:rPr>
          <w:b/>
        </w:rPr>
        <w:t>52487</w:t>
      </w:r>
    </w:p>
    <w:p w14:paraId="5C957CE9" w14:textId="472BBD8D" w:rsidR="00684C52" w:rsidRDefault="00684C52" w:rsidP="00684C52">
      <w:pPr>
        <w:jc w:val="center"/>
        <w:rPr>
          <w:b/>
        </w:rPr>
      </w:pPr>
    </w:p>
    <w:p w14:paraId="6D7D20E2" w14:textId="77777777" w:rsidR="00684C52" w:rsidRDefault="00684C52" w:rsidP="00684C52">
      <w:pPr>
        <w:jc w:val="center"/>
        <w:rPr>
          <w:b/>
        </w:rPr>
      </w:pPr>
    </w:p>
    <w:p w14:paraId="6510FC6B" w14:textId="77777777" w:rsidR="003A66EA" w:rsidRDefault="003A66EA" w:rsidP="003A66EA">
      <w:pPr>
        <w:jc w:val="center"/>
        <w:rPr>
          <w:b/>
        </w:rPr>
      </w:pPr>
    </w:p>
    <w:p w14:paraId="57B08317" w14:textId="77777777" w:rsidR="003A66EA" w:rsidRDefault="003A66EA" w:rsidP="003A66EA">
      <w:pPr>
        <w:jc w:val="center"/>
        <w:rPr>
          <w:b/>
          <w:u w:val="single"/>
        </w:rPr>
      </w:pPr>
      <w:r w:rsidRPr="00BB70B1">
        <w:rPr>
          <w:b/>
          <w:u w:val="single"/>
        </w:rPr>
        <w:t>TABLE OF CONTENTS</w:t>
      </w:r>
    </w:p>
    <w:p w14:paraId="29A1EA9D" w14:textId="77777777" w:rsidR="003A66EA" w:rsidRDefault="003A66EA" w:rsidP="003A66EA">
      <w:pPr>
        <w:jc w:val="center"/>
        <w:rPr>
          <w:b/>
          <w:u w:val="single"/>
        </w:rPr>
      </w:pPr>
    </w:p>
    <w:p w14:paraId="43B25A08" w14:textId="77777777" w:rsidR="003A66EA" w:rsidRPr="00E7425C" w:rsidRDefault="003A66EA" w:rsidP="003A66EA">
      <w:pPr>
        <w:jc w:val="right"/>
        <w:rPr>
          <w:u w:val="single"/>
        </w:rPr>
      </w:pPr>
      <w:r w:rsidRPr="00E7425C">
        <w:rPr>
          <w:u w:val="single"/>
        </w:rPr>
        <w:t>Page</w:t>
      </w:r>
    </w:p>
    <w:p w14:paraId="2C34CC4F" w14:textId="77777777" w:rsidR="003A66EA" w:rsidRPr="008D0222" w:rsidRDefault="003A66EA" w:rsidP="003A66EA">
      <w:pPr>
        <w:jc w:val="center"/>
        <w:rPr>
          <w:bCs/>
        </w:rPr>
      </w:pPr>
    </w:p>
    <w:p w14:paraId="6B67CE91" w14:textId="466966F3" w:rsidR="00C13D35" w:rsidRDefault="003A66EA">
      <w:pPr>
        <w:pStyle w:val="TOC1"/>
        <w:rPr>
          <w:rFonts w:asciiTheme="minorHAnsi" w:eastAsiaTheme="minorEastAsia" w:hAnsiTheme="minorHAnsi" w:cstheme="minorBidi"/>
          <w:sz w:val="22"/>
          <w:szCs w:val="22"/>
        </w:rPr>
      </w:pPr>
      <w:r w:rsidRPr="008D0222">
        <w:rPr>
          <w:bCs/>
        </w:rPr>
        <w:fldChar w:fldCharType="begin"/>
      </w:r>
      <w:r w:rsidRPr="008D0222">
        <w:rPr>
          <w:bCs/>
        </w:rPr>
        <w:instrText xml:space="preserve"> TOC \o "1-2" \u </w:instrText>
      </w:r>
      <w:r w:rsidRPr="008D0222">
        <w:rPr>
          <w:bCs/>
        </w:rPr>
        <w:fldChar w:fldCharType="separate"/>
      </w:r>
      <w:r w:rsidR="00C13D35" w:rsidRPr="00145C9F">
        <w:t>I.</w:t>
      </w:r>
      <w:r w:rsidR="00C13D35">
        <w:rPr>
          <w:rFonts w:asciiTheme="minorHAnsi" w:eastAsiaTheme="minorEastAsia" w:hAnsiTheme="minorHAnsi" w:cstheme="minorBidi"/>
          <w:sz w:val="22"/>
          <w:szCs w:val="22"/>
        </w:rPr>
        <w:tab/>
      </w:r>
      <w:r w:rsidR="00C13D35">
        <w:t>Introduction and Purpose</w:t>
      </w:r>
      <w:r w:rsidR="00C13D35">
        <w:tab/>
      </w:r>
      <w:r w:rsidR="00C13D35">
        <w:fldChar w:fldCharType="begin"/>
      </w:r>
      <w:r w:rsidR="00C13D35">
        <w:instrText xml:space="preserve"> PAGEREF _Toc82439996 \h </w:instrText>
      </w:r>
      <w:r w:rsidR="00C13D35">
        <w:fldChar w:fldCharType="separate"/>
      </w:r>
      <w:r w:rsidR="00DB3F31">
        <w:t>1</w:t>
      </w:r>
      <w:r w:rsidR="00C13D35">
        <w:fldChar w:fldCharType="end"/>
      </w:r>
    </w:p>
    <w:p w14:paraId="086C8DF6" w14:textId="7E0FE6B9" w:rsidR="00C13D35" w:rsidRDefault="00C13D35">
      <w:pPr>
        <w:pStyle w:val="TOC1"/>
        <w:rPr>
          <w:rFonts w:asciiTheme="minorHAnsi" w:eastAsiaTheme="minorEastAsia" w:hAnsiTheme="minorHAnsi" w:cstheme="minorBidi"/>
          <w:sz w:val="22"/>
          <w:szCs w:val="22"/>
        </w:rPr>
      </w:pPr>
      <w:r w:rsidRPr="00145C9F">
        <w:t>II.</w:t>
      </w:r>
      <w:r>
        <w:rPr>
          <w:rFonts w:asciiTheme="minorHAnsi" w:eastAsiaTheme="minorEastAsia" w:hAnsiTheme="minorHAnsi" w:cstheme="minorBidi"/>
          <w:sz w:val="22"/>
          <w:szCs w:val="22"/>
        </w:rPr>
        <w:tab/>
      </w:r>
      <w:r>
        <w:t>The MISO Resource Adequacy Construct</w:t>
      </w:r>
      <w:r>
        <w:tab/>
      </w:r>
      <w:r>
        <w:fldChar w:fldCharType="begin"/>
      </w:r>
      <w:r>
        <w:instrText xml:space="preserve"> PAGEREF _Toc82439997 \h </w:instrText>
      </w:r>
      <w:r>
        <w:fldChar w:fldCharType="separate"/>
      </w:r>
      <w:r w:rsidR="00DB3F31">
        <w:t>5</w:t>
      </w:r>
      <w:r>
        <w:fldChar w:fldCharType="end"/>
      </w:r>
    </w:p>
    <w:p w14:paraId="478EBE74" w14:textId="5625D333" w:rsidR="00C13D35" w:rsidRDefault="00C13D35">
      <w:pPr>
        <w:pStyle w:val="TOC1"/>
        <w:rPr>
          <w:rFonts w:asciiTheme="minorHAnsi" w:eastAsiaTheme="minorEastAsia" w:hAnsiTheme="minorHAnsi" w:cstheme="minorBidi"/>
          <w:sz w:val="22"/>
          <w:szCs w:val="22"/>
        </w:rPr>
      </w:pPr>
      <w:r w:rsidRPr="00145C9F">
        <w:t>III.</w:t>
      </w:r>
      <w:r>
        <w:rPr>
          <w:rFonts w:asciiTheme="minorHAnsi" w:eastAsiaTheme="minorEastAsia" w:hAnsiTheme="minorHAnsi" w:cstheme="minorBidi"/>
          <w:sz w:val="22"/>
          <w:szCs w:val="22"/>
        </w:rPr>
        <w:tab/>
      </w:r>
      <w:r>
        <w:t>ETI’s Decision to Conduct Long-Term Generation Planning</w:t>
      </w:r>
      <w:r>
        <w:tab/>
      </w:r>
      <w:r>
        <w:fldChar w:fldCharType="begin"/>
      </w:r>
      <w:r>
        <w:instrText xml:space="preserve"> PAGEREF _Toc82439998 \h </w:instrText>
      </w:r>
      <w:r>
        <w:fldChar w:fldCharType="separate"/>
      </w:r>
      <w:r w:rsidR="00DB3F31">
        <w:t>16</w:t>
      </w:r>
      <w:r>
        <w:fldChar w:fldCharType="end"/>
      </w:r>
    </w:p>
    <w:p w14:paraId="4A2D48CC" w14:textId="7C46DB76" w:rsidR="00C13D35" w:rsidRDefault="00C13D35">
      <w:pPr>
        <w:pStyle w:val="TOC1"/>
        <w:rPr>
          <w:rFonts w:asciiTheme="minorHAnsi" w:eastAsiaTheme="minorEastAsia" w:hAnsiTheme="minorHAnsi" w:cstheme="minorBidi"/>
          <w:sz w:val="22"/>
          <w:szCs w:val="22"/>
        </w:rPr>
      </w:pPr>
      <w:r w:rsidRPr="00145C9F">
        <w:t>IV.</w:t>
      </w:r>
      <w:r>
        <w:rPr>
          <w:rFonts w:asciiTheme="minorHAnsi" w:eastAsiaTheme="minorEastAsia" w:hAnsiTheme="minorHAnsi" w:cstheme="minorBidi"/>
          <w:sz w:val="22"/>
          <w:szCs w:val="22"/>
        </w:rPr>
        <w:tab/>
      </w:r>
      <w:r>
        <w:t>Basis for ETI’s Long-Term Planning Reserve Margin Target</w:t>
      </w:r>
      <w:r>
        <w:tab/>
      </w:r>
      <w:r>
        <w:fldChar w:fldCharType="begin"/>
      </w:r>
      <w:r>
        <w:instrText xml:space="preserve"> PAGEREF _Toc82439999 \h </w:instrText>
      </w:r>
      <w:r>
        <w:fldChar w:fldCharType="separate"/>
      </w:r>
      <w:r w:rsidR="00DB3F31">
        <w:t>21</w:t>
      </w:r>
      <w:r>
        <w:fldChar w:fldCharType="end"/>
      </w:r>
    </w:p>
    <w:p w14:paraId="5D21A9D9" w14:textId="43248750" w:rsidR="003A66EA" w:rsidRPr="00CA5697" w:rsidRDefault="003A66EA" w:rsidP="006A626A">
      <w:pPr>
        <w:pStyle w:val="A"/>
      </w:pPr>
      <w:r w:rsidRPr="008D0222">
        <w:fldChar w:fldCharType="end"/>
      </w:r>
    </w:p>
    <w:p w14:paraId="6A9FC225" w14:textId="3C8453AE" w:rsidR="003A66EA" w:rsidRPr="00ED75FB" w:rsidRDefault="003A66EA" w:rsidP="002B6B95">
      <w:pPr>
        <w:spacing w:after="240"/>
      </w:pPr>
    </w:p>
    <w:p w14:paraId="6645A5E7" w14:textId="77777777" w:rsidR="003A66EA" w:rsidRPr="00C54FA1" w:rsidRDefault="003A66EA" w:rsidP="003A66EA">
      <w:pPr>
        <w:spacing w:after="40"/>
        <w:ind w:left="2160" w:hanging="2160"/>
        <w:rPr>
          <w:b/>
        </w:rPr>
      </w:pPr>
    </w:p>
    <w:p w14:paraId="18FA8130" w14:textId="77777777" w:rsidR="003A66EA" w:rsidRDefault="003A66EA" w:rsidP="003A66EA">
      <w:pPr>
        <w:spacing w:after="40"/>
      </w:pPr>
    </w:p>
    <w:p w14:paraId="5D3AC1FD" w14:textId="77777777" w:rsidR="003A66EA" w:rsidRDefault="003A66EA" w:rsidP="003A66EA">
      <w:pPr>
        <w:spacing w:after="40"/>
      </w:pPr>
      <w:r>
        <w:t xml:space="preserve"> </w:t>
      </w:r>
    </w:p>
    <w:p w14:paraId="3230DF8D" w14:textId="77777777" w:rsidR="003A66EA" w:rsidRDefault="003A66EA" w:rsidP="003A66EA">
      <w:pPr>
        <w:pStyle w:val="Header"/>
        <w:tabs>
          <w:tab w:val="clear" w:pos="4320"/>
          <w:tab w:val="center" w:pos="4680"/>
        </w:tabs>
        <w:spacing w:line="480" w:lineRule="auto"/>
        <w:jc w:val="center"/>
      </w:pPr>
    </w:p>
    <w:p w14:paraId="17FCF97E" w14:textId="77777777" w:rsidR="003A66EA" w:rsidRDefault="003A66EA" w:rsidP="003A66EA">
      <w:pPr>
        <w:pStyle w:val="Header"/>
        <w:tabs>
          <w:tab w:val="clear" w:pos="4320"/>
          <w:tab w:val="center" w:pos="4680"/>
        </w:tabs>
        <w:spacing w:line="480" w:lineRule="auto"/>
        <w:jc w:val="center"/>
        <w:sectPr w:rsidR="003A66EA" w:rsidSect="00684C52">
          <w:headerReference w:type="first" r:id="rId14"/>
          <w:footerReference w:type="first" r:id="rId15"/>
          <w:pgSz w:w="12240" w:h="15840" w:code="1"/>
          <w:pgMar w:top="1440" w:right="1440" w:bottom="1440" w:left="1440" w:header="720" w:footer="720" w:gutter="0"/>
          <w:pgNumType w:fmt="lowerRoman" w:start="1"/>
          <w:cols w:space="720"/>
          <w:titlePg/>
          <w:docGrid w:linePitch="360"/>
        </w:sectPr>
      </w:pPr>
      <w:bookmarkStart w:id="0" w:name="_Toc171514637"/>
    </w:p>
    <w:p w14:paraId="5EFC255F" w14:textId="116DC601" w:rsidR="003A66EA" w:rsidRPr="009475F6" w:rsidRDefault="005D6A76" w:rsidP="002B6B95">
      <w:pPr>
        <w:pStyle w:val="Heading1"/>
      </w:pPr>
      <w:bookmarkStart w:id="1" w:name="_Toc245784094"/>
      <w:bookmarkStart w:id="2" w:name="_Toc82439996"/>
      <w:r w:rsidRPr="009475F6">
        <w:lastRenderedPageBreak/>
        <w:t>I</w:t>
      </w:r>
      <w:r w:rsidR="006966D6" w:rsidRPr="009475F6">
        <w:t>ntroduction and Purpose</w:t>
      </w:r>
      <w:bookmarkEnd w:id="0"/>
      <w:bookmarkEnd w:id="1"/>
      <w:bookmarkEnd w:id="2"/>
    </w:p>
    <w:p w14:paraId="0A329C1C" w14:textId="77777777" w:rsidR="003A66EA" w:rsidRPr="00D61962" w:rsidRDefault="003A66EA" w:rsidP="00070F90">
      <w:pPr>
        <w:pStyle w:val="QUESTION"/>
      </w:pPr>
      <w:r>
        <w:t>PLEASE STATE YOUR NAME,</w:t>
      </w:r>
      <w:r w:rsidRPr="00D61962">
        <w:t xml:space="preserve"> BUSINESS ADDRESS</w:t>
      </w:r>
      <w:r>
        <w:t>, and position</w:t>
      </w:r>
      <w:r w:rsidRPr="00D61962">
        <w:t>.</w:t>
      </w:r>
    </w:p>
    <w:p w14:paraId="529B958B" w14:textId="5217796F" w:rsidR="003A66EA" w:rsidRDefault="003A66EA" w:rsidP="003A66EA">
      <w:pPr>
        <w:pStyle w:val="A"/>
      </w:pPr>
      <w:r w:rsidRPr="00D61962">
        <w:t>A.</w:t>
      </w:r>
      <w:r w:rsidRPr="00D61962">
        <w:tab/>
      </w:r>
      <w:r w:rsidR="00954FE9" w:rsidRPr="00C867E5">
        <w:rPr>
          <w:rFonts w:cs="Arial"/>
        </w:rPr>
        <w:t>My name is</w:t>
      </w:r>
      <w:r w:rsidR="00954FE9">
        <w:rPr>
          <w:rFonts w:cs="Arial"/>
        </w:rPr>
        <w:t xml:space="preserve"> </w:t>
      </w:r>
      <w:r w:rsidR="00472A3B">
        <w:rPr>
          <w:rFonts w:cs="Arial"/>
        </w:rPr>
        <w:t>Nicholas W. Owens</w:t>
      </w:r>
      <w:r w:rsidR="00954FE9">
        <w:rPr>
          <w:rFonts w:cs="Arial"/>
        </w:rPr>
        <w:t xml:space="preserve">. </w:t>
      </w:r>
      <w:r w:rsidR="00954FE9" w:rsidRPr="00C867E5">
        <w:rPr>
          <w:rFonts w:cs="Arial"/>
        </w:rPr>
        <w:t xml:space="preserve"> My business address is </w:t>
      </w:r>
      <w:r w:rsidR="00880E73">
        <w:rPr>
          <w:rFonts w:cs="Arial"/>
        </w:rPr>
        <w:t>30 Monument Square, Suite</w:t>
      </w:r>
      <w:r w:rsidR="0080498F">
        <w:rPr>
          <w:rFonts w:cs="Arial"/>
        </w:rPr>
        <w:t> </w:t>
      </w:r>
      <w:r w:rsidR="00880E73">
        <w:rPr>
          <w:rFonts w:cs="Arial"/>
        </w:rPr>
        <w:t>105, Concord, Massachusetts 01742.</w:t>
      </w:r>
      <w:r w:rsidR="0005080F">
        <w:rPr>
          <w:rFonts w:cs="Arial"/>
        </w:rPr>
        <w:t xml:space="preserve">  I am </w:t>
      </w:r>
      <w:r w:rsidR="00472A3B">
        <w:rPr>
          <w:rFonts w:cs="Arial"/>
        </w:rPr>
        <w:t xml:space="preserve">a Partner at The </w:t>
      </w:r>
      <w:proofErr w:type="spellStart"/>
      <w:r w:rsidR="00472A3B">
        <w:rPr>
          <w:rFonts w:cs="Arial"/>
        </w:rPr>
        <w:t>NorthBridge</w:t>
      </w:r>
      <w:proofErr w:type="spellEnd"/>
      <w:r w:rsidR="00472A3B">
        <w:rPr>
          <w:rFonts w:cs="Arial"/>
        </w:rPr>
        <w:t xml:space="preserve"> Group</w:t>
      </w:r>
      <w:r w:rsidR="009B793A">
        <w:rPr>
          <w:rFonts w:cs="Arial"/>
        </w:rPr>
        <w:t xml:space="preserve"> (“</w:t>
      </w:r>
      <w:proofErr w:type="spellStart"/>
      <w:r w:rsidR="009B793A">
        <w:rPr>
          <w:rFonts w:cs="Arial"/>
        </w:rPr>
        <w:t>NorthBridge</w:t>
      </w:r>
      <w:proofErr w:type="spellEnd"/>
      <w:r w:rsidR="009B793A">
        <w:rPr>
          <w:rFonts w:cs="Arial"/>
        </w:rPr>
        <w:t>”)</w:t>
      </w:r>
      <w:r w:rsidR="00954FE9" w:rsidRPr="00B83F85">
        <w:t>.</w:t>
      </w:r>
    </w:p>
    <w:p w14:paraId="35C4D841" w14:textId="4ACE67F8" w:rsidR="003A66EA" w:rsidRPr="00D61962" w:rsidRDefault="003A66EA" w:rsidP="003A66EA">
      <w:pPr>
        <w:pStyle w:val="A"/>
      </w:pPr>
    </w:p>
    <w:p w14:paraId="5BA8F886" w14:textId="46A6E332" w:rsidR="003A66EA" w:rsidRPr="00D61962" w:rsidRDefault="003A66EA" w:rsidP="00070F90">
      <w:pPr>
        <w:pStyle w:val="QUESTION"/>
      </w:pPr>
      <w:r w:rsidRPr="00D61962">
        <w:t>ON WHOSE BEHALF ARE YOU TESTIFYING</w:t>
      </w:r>
      <w:r w:rsidR="00706229">
        <w:t xml:space="preserve"> IN THIS PROCEEDING</w:t>
      </w:r>
      <w:r w:rsidRPr="00D61962">
        <w:t>?</w:t>
      </w:r>
    </w:p>
    <w:p w14:paraId="7C530E62" w14:textId="65101871" w:rsidR="003A66EA" w:rsidRDefault="003A66EA" w:rsidP="003A66EA">
      <w:pPr>
        <w:pStyle w:val="A"/>
      </w:pPr>
      <w:r w:rsidRPr="00D61962">
        <w:t>A.</w:t>
      </w:r>
      <w:r w:rsidRPr="00D61962">
        <w:tab/>
      </w:r>
      <w:r w:rsidR="00954FE9">
        <w:t xml:space="preserve">I am submitting this Direct Testimony </w:t>
      </w:r>
      <w:r w:rsidR="003307A2">
        <w:t xml:space="preserve">to the Public Utility Commission of Texas (“Commission”) </w:t>
      </w:r>
      <w:r w:rsidR="00954FE9">
        <w:t xml:space="preserve">on behalf of </w:t>
      </w:r>
      <w:r w:rsidR="00556FF9">
        <w:t>Entergy Texas, Inc. (“</w:t>
      </w:r>
      <w:proofErr w:type="spellStart"/>
      <w:r w:rsidR="00954FE9">
        <w:t>ETI</w:t>
      </w:r>
      <w:proofErr w:type="spellEnd"/>
      <w:r w:rsidR="00556FF9">
        <w:t xml:space="preserve"> or the “Company”)</w:t>
      </w:r>
      <w:r w:rsidR="00954FE9">
        <w:t>.</w:t>
      </w:r>
      <w:r w:rsidRPr="00FE7AB1">
        <w:t xml:space="preserve">  </w:t>
      </w:r>
    </w:p>
    <w:p w14:paraId="391AE411" w14:textId="64EEEF84" w:rsidR="003A66EA" w:rsidRPr="00D61962" w:rsidRDefault="003A66EA" w:rsidP="00CB3736">
      <w:pPr>
        <w:pStyle w:val="A"/>
      </w:pPr>
    </w:p>
    <w:p w14:paraId="36A77EDA" w14:textId="77777777" w:rsidR="00B42DC9" w:rsidRPr="00D61962" w:rsidRDefault="00B42DC9" w:rsidP="00B42DC9">
      <w:pPr>
        <w:pStyle w:val="QUESTION"/>
      </w:pPr>
      <w:r w:rsidRPr="00D61962">
        <w:t>PLEASE DESCRIBE YOUR EDUCATION</w:t>
      </w:r>
      <w:r>
        <w:t>AL BACKGROUND</w:t>
      </w:r>
      <w:r w:rsidRPr="00D61962">
        <w:t xml:space="preserve"> AND PROFESSIONAL EXPERIENCE.</w:t>
      </w:r>
    </w:p>
    <w:p w14:paraId="52BA4809" w14:textId="74DEDB2D" w:rsidR="00B42DC9" w:rsidRPr="006F3606" w:rsidRDefault="00B42DC9" w:rsidP="00B42DC9">
      <w:pPr>
        <w:pStyle w:val="A"/>
        <w:numPr>
          <w:ilvl w:val="2"/>
          <w:numId w:val="1"/>
        </w:numPr>
      </w:pPr>
      <w:r w:rsidRPr="00B45347">
        <w:t xml:space="preserve">I </w:t>
      </w:r>
      <w:r>
        <w:t xml:space="preserve">graduated from Colby College in 2004 with a B.A. in economics and government.  I spent two years as an Analyst with </w:t>
      </w:r>
      <w:proofErr w:type="spellStart"/>
      <w:r>
        <w:t>FTI</w:t>
      </w:r>
      <w:proofErr w:type="spellEnd"/>
      <w:r>
        <w:t xml:space="preserve"> Consulting before joining </w:t>
      </w:r>
      <w:proofErr w:type="spellStart"/>
      <w:r>
        <w:t>NorthBridge</w:t>
      </w:r>
      <w:proofErr w:type="spellEnd"/>
      <w:r>
        <w:t xml:space="preserve"> in 2007.  I became a Partner at </w:t>
      </w:r>
      <w:proofErr w:type="spellStart"/>
      <w:r>
        <w:t>NorthBridge</w:t>
      </w:r>
      <w:proofErr w:type="spellEnd"/>
      <w:r>
        <w:t xml:space="preserve"> in 2019.  </w:t>
      </w:r>
      <w:proofErr w:type="spellStart"/>
      <w:r>
        <w:t>NorthBridge</w:t>
      </w:r>
      <w:proofErr w:type="spellEnd"/>
      <w:r>
        <w:t xml:space="preserve"> is an economic and strategic consulting firm serving the electricity and natural gas sectors.  My practice includes generation planning and operations within </w:t>
      </w:r>
      <w:r w:rsidR="002A2E08">
        <w:t>regional transmission organization (“</w:t>
      </w:r>
      <w:proofErr w:type="spellStart"/>
      <w:r>
        <w:t>RTO</w:t>
      </w:r>
      <w:proofErr w:type="spellEnd"/>
      <w:r w:rsidR="002A2E08">
        <w:t>”)</w:t>
      </w:r>
      <w:r>
        <w:t xml:space="preserve"> markets.</w:t>
      </w:r>
    </w:p>
    <w:p w14:paraId="4F6A6F1D" w14:textId="68EF1FCB" w:rsidR="00B42DC9" w:rsidRDefault="00B42DC9" w:rsidP="000D1873">
      <w:pPr>
        <w:pStyle w:val="A"/>
        <w:suppressLineNumbers/>
      </w:pPr>
      <w:r w:rsidRPr="00D61962">
        <w:t xml:space="preserve"> </w:t>
      </w:r>
    </w:p>
    <w:p w14:paraId="41359050" w14:textId="77777777" w:rsidR="00B42DC9" w:rsidRDefault="00B42DC9" w:rsidP="00B42DC9">
      <w:pPr>
        <w:pStyle w:val="QUESTION"/>
      </w:pPr>
      <w:r w:rsidRPr="003F360E">
        <w:lastRenderedPageBreak/>
        <w:t xml:space="preserve">HAVE YOU </w:t>
      </w:r>
      <w:r>
        <w:t xml:space="preserve">PREVIOUSLY </w:t>
      </w:r>
      <w:r w:rsidRPr="003F360E">
        <w:t>PROVIDED TESTIMONY</w:t>
      </w:r>
      <w:r>
        <w:t xml:space="preserve"> BEFORE A REGULATORY COMMISSION</w:t>
      </w:r>
      <w:r w:rsidRPr="003F360E">
        <w:t>?</w:t>
      </w:r>
    </w:p>
    <w:p w14:paraId="3EEE32AA" w14:textId="0C62A715" w:rsidR="00B42DC9" w:rsidRDefault="00B42DC9" w:rsidP="00B42DC9">
      <w:pPr>
        <w:pStyle w:val="A"/>
      </w:pPr>
      <w:r>
        <w:t>A.</w:t>
      </w:r>
      <w:r>
        <w:tab/>
        <w:t>Yes.  I provided testimony to the Louisiana Public Service Commission</w:t>
      </w:r>
      <w:r w:rsidR="003B1B12">
        <w:t xml:space="preserve"> in Docket Nos</w:t>
      </w:r>
      <w:proofErr w:type="gramStart"/>
      <w:r w:rsidR="003B1B12">
        <w:t>.</w:t>
      </w:r>
      <w:r w:rsidR="0080498F">
        <w:t> </w:t>
      </w:r>
      <w:proofErr w:type="gramEnd"/>
      <w:r w:rsidR="003B1B12">
        <w:t xml:space="preserve">U-32148 and U-33592 and to the </w:t>
      </w:r>
      <w:r>
        <w:t>City Council of New Orleans in Docket No</w:t>
      </w:r>
      <w:proofErr w:type="gramStart"/>
      <w:r>
        <w:t>.</w:t>
      </w:r>
      <w:r w:rsidR="0080498F">
        <w:t> </w:t>
      </w:r>
      <w:proofErr w:type="spellStart"/>
      <w:proofErr w:type="gramEnd"/>
      <w:r>
        <w:t>UD</w:t>
      </w:r>
      <w:proofErr w:type="spellEnd"/>
      <w:r w:rsidR="0080498F">
        <w:noBreakHyphen/>
      </w:r>
      <w:r>
        <w:t>11</w:t>
      </w:r>
      <w:r w:rsidR="0080498F">
        <w:noBreakHyphen/>
      </w:r>
      <w:r>
        <w:t xml:space="preserve">01. </w:t>
      </w:r>
    </w:p>
    <w:p w14:paraId="531A8949" w14:textId="77777777" w:rsidR="00B42DC9" w:rsidRDefault="00B42DC9" w:rsidP="00B42DC9">
      <w:pPr>
        <w:pStyle w:val="A"/>
      </w:pPr>
    </w:p>
    <w:p w14:paraId="3C119414" w14:textId="77777777" w:rsidR="00B42DC9" w:rsidRDefault="00B42DC9" w:rsidP="00B42DC9">
      <w:pPr>
        <w:pStyle w:val="QUESTION"/>
      </w:pPr>
      <w:r>
        <w:t>what is the purpose of your testimony</w:t>
      </w:r>
      <w:r w:rsidRPr="003F360E">
        <w:t>?</w:t>
      </w:r>
    </w:p>
    <w:p w14:paraId="096AA5F3" w14:textId="18CF0BBA" w:rsidR="00B42DC9" w:rsidRDefault="00B42DC9" w:rsidP="00B42DC9">
      <w:pPr>
        <w:pStyle w:val="A"/>
      </w:pPr>
      <w:r>
        <w:t>A.</w:t>
      </w:r>
      <w:r>
        <w:tab/>
        <w:t xml:space="preserve">I am </w:t>
      </w:r>
      <w:r w:rsidRPr="00935BCA">
        <w:t xml:space="preserve">testifying on behalf of the Company in support of its </w:t>
      </w:r>
      <w:r>
        <w:t xml:space="preserve">application </w:t>
      </w:r>
      <w:r w:rsidRPr="00E66047">
        <w:t xml:space="preserve">seeking </w:t>
      </w:r>
      <w:r w:rsidR="002A2E08">
        <w:t>an amendment to its certificate of convenience and necessity</w:t>
      </w:r>
      <w:r w:rsidRPr="00E66047">
        <w:t xml:space="preserve"> to construct</w:t>
      </w:r>
      <w:r w:rsidR="002A2E08">
        <w:t>, own, and operate</w:t>
      </w:r>
      <w:r w:rsidRPr="00E66047">
        <w:t xml:space="preserve"> the Orange County </w:t>
      </w:r>
      <w:r w:rsidR="006B2412">
        <w:t xml:space="preserve">Advanced </w:t>
      </w:r>
      <w:r w:rsidRPr="00E66047">
        <w:t>Power Station (“</w:t>
      </w:r>
      <w:r w:rsidR="006B2412">
        <w:t>OCAPS</w:t>
      </w:r>
      <w:r w:rsidRPr="00E66047">
        <w:t>” or the “Project</w:t>
      </w:r>
      <w:r>
        <w:t>”</w:t>
      </w:r>
      <w:r w:rsidRPr="00E66047">
        <w:t xml:space="preserve">).  </w:t>
      </w:r>
      <w:r>
        <w:t>Specifically, m</w:t>
      </w:r>
      <w:r w:rsidRPr="00E66047">
        <w:t>y testimony</w:t>
      </w:r>
      <w:r>
        <w:t xml:space="preserve">: 1) </w:t>
      </w:r>
      <w:r w:rsidRPr="00E66047">
        <w:t>describes the</w:t>
      </w:r>
      <w:r w:rsidR="00337C91">
        <w:t xml:space="preserve"> Midcontinent Independent System Operator, Inc.</w:t>
      </w:r>
      <w:r>
        <w:t xml:space="preserve"> </w:t>
      </w:r>
      <w:r w:rsidR="00337C91">
        <w:t>(“</w:t>
      </w:r>
      <w:r>
        <w:t>MISO</w:t>
      </w:r>
      <w:r w:rsidR="00337C91">
        <w:t>”)</w:t>
      </w:r>
      <w:r>
        <w:t xml:space="preserve"> </w:t>
      </w:r>
      <w:r w:rsidR="00337C91">
        <w:t xml:space="preserve">annual </w:t>
      </w:r>
      <w:r>
        <w:t>capacity auction, which is called the Planning Resource Auction (“PRA”), and the</w:t>
      </w:r>
      <w:r w:rsidR="0093772B">
        <w:t xml:space="preserve"> limited</w:t>
      </w:r>
      <w:r>
        <w:t xml:space="preserve"> role that it plays </w:t>
      </w:r>
      <w:r w:rsidR="00C41FFB">
        <w:t xml:space="preserve">in ensuring </w:t>
      </w:r>
      <w:r>
        <w:t>resource adequacy</w:t>
      </w:r>
      <w:r w:rsidR="00C41FFB">
        <w:t xml:space="preserve"> within MISO</w:t>
      </w:r>
      <w:r>
        <w:t xml:space="preserve">; 2) explains the need for Load Serving Entities (“LSEs”) in MISO to </w:t>
      </w:r>
      <w:r w:rsidR="0093772B">
        <w:t>conduct long-term generation planning and</w:t>
      </w:r>
      <w:r>
        <w:t xml:space="preserve"> to </w:t>
      </w:r>
      <w:r w:rsidR="0093772B">
        <w:t xml:space="preserve">support enough generation to meet their </w:t>
      </w:r>
      <w:r w:rsidR="00E323B7">
        <w:t>expected</w:t>
      </w:r>
      <w:r w:rsidR="0093772B">
        <w:t xml:space="preserve"> capacity needs </w:t>
      </w:r>
      <w:r w:rsidR="00C41FFB">
        <w:t xml:space="preserve">primarily </w:t>
      </w:r>
      <w:r w:rsidR="0093772B">
        <w:t xml:space="preserve">through ownership </w:t>
      </w:r>
      <w:r>
        <w:t>and/or bilateral contracts</w:t>
      </w:r>
      <w:r w:rsidR="0093772B">
        <w:t>, rather than through reliance on the PRA</w:t>
      </w:r>
      <w:r>
        <w:t xml:space="preserve">; 3) explains the reasonableness of </w:t>
      </w:r>
      <w:proofErr w:type="spellStart"/>
      <w:r>
        <w:t>ETI’s</w:t>
      </w:r>
      <w:proofErr w:type="spellEnd"/>
      <w:r>
        <w:t xml:space="preserve"> decision to value </w:t>
      </w:r>
      <w:r w:rsidR="001F191B">
        <w:t>OCAPS</w:t>
      </w:r>
      <w:r>
        <w:t xml:space="preserve"> by comparing it to the cost of an alternative source of real, physical capacity in East Texas, rather than</w:t>
      </w:r>
      <w:r w:rsidR="00D61B17">
        <w:t xml:space="preserve"> a projection of</w:t>
      </w:r>
      <w:r>
        <w:t xml:space="preserve"> the PRA price; and 4) explains the basis for </w:t>
      </w:r>
      <w:proofErr w:type="spellStart"/>
      <w:r>
        <w:t>ETI’s</w:t>
      </w:r>
      <w:proofErr w:type="spellEnd"/>
      <w:r>
        <w:t xml:space="preserve"> long-term planning reserve margin target.</w:t>
      </w:r>
    </w:p>
    <w:p w14:paraId="5B6D1738" w14:textId="77777777" w:rsidR="00B42DC9" w:rsidRDefault="00B42DC9" w:rsidP="000D1873">
      <w:pPr>
        <w:pStyle w:val="A"/>
        <w:suppressLineNumbers/>
      </w:pPr>
    </w:p>
    <w:p w14:paraId="0320A52D" w14:textId="77777777" w:rsidR="00B42DC9" w:rsidRDefault="00B42DC9" w:rsidP="00B42DC9">
      <w:pPr>
        <w:pStyle w:val="QUESTION"/>
      </w:pPr>
      <w:r>
        <w:lastRenderedPageBreak/>
        <w:t>please summarize your conclusions.</w:t>
      </w:r>
    </w:p>
    <w:p w14:paraId="166D5D0F" w14:textId="5A01993D" w:rsidR="00B42DC9" w:rsidRDefault="00B42DC9" w:rsidP="00B42DC9">
      <w:pPr>
        <w:pStyle w:val="A"/>
      </w:pPr>
      <w:r>
        <w:t>A.</w:t>
      </w:r>
      <w:r>
        <w:tab/>
        <w:t xml:space="preserve">First, the </w:t>
      </w:r>
      <w:r w:rsidR="00C41FFB">
        <w:t xml:space="preserve">MISO </w:t>
      </w:r>
      <w:r>
        <w:t xml:space="preserve">PRA is not like capacity markets in the Eastern </w:t>
      </w:r>
      <w:proofErr w:type="spellStart"/>
      <w:r>
        <w:t>RTOs</w:t>
      </w:r>
      <w:proofErr w:type="spellEnd"/>
      <w:r>
        <w:t xml:space="preserve"> (</w:t>
      </w:r>
      <w:proofErr w:type="spellStart"/>
      <w:r>
        <w:t>PJM</w:t>
      </w:r>
      <w:proofErr w:type="spellEnd"/>
      <w:r>
        <w:t xml:space="preserve">, </w:t>
      </w:r>
      <w:proofErr w:type="spellStart"/>
      <w:r>
        <w:t>NYISO</w:t>
      </w:r>
      <w:proofErr w:type="spellEnd"/>
      <w:r>
        <w:t xml:space="preserve">, and ISO-NE), which are characterized </w:t>
      </w:r>
      <w:r w:rsidR="00C41FFB">
        <w:t xml:space="preserve">mostly or entirely </w:t>
      </w:r>
      <w:r>
        <w:t xml:space="preserve">by retail access and rely on their capacity markets </w:t>
      </w:r>
      <w:r w:rsidR="00C41FFB">
        <w:t xml:space="preserve">as the primary means </w:t>
      </w:r>
      <w:r>
        <w:t xml:space="preserve">to maintain resource adequacy.  Unlike these eastern capacity markets, </w:t>
      </w:r>
      <w:r w:rsidR="00C41FFB">
        <w:t xml:space="preserve">and as MISO itself has acknowledged, </w:t>
      </w:r>
      <w:r>
        <w:t xml:space="preserve">the PRA is not designed to be a substitute for long-term resource planning.  </w:t>
      </w:r>
      <w:r w:rsidR="00C41FFB">
        <w:t>By virtue of its design, i</w:t>
      </w:r>
      <w:r>
        <w:t xml:space="preserve">t does not send efficient long-term price signals for generation entry or exit and will not retain and/or bring forth enough new capacity to maintain resource adequacy.  Rather than rely on the PRA to maintain resource adequacy, MISO (like </w:t>
      </w:r>
      <w:r w:rsidR="0047106F">
        <w:t xml:space="preserve">the Southwest Power Pool </w:t>
      </w:r>
      <w:r w:rsidR="006A4DA1">
        <w:t>(“</w:t>
      </w:r>
      <w:proofErr w:type="spellStart"/>
      <w:r>
        <w:t>SPP</w:t>
      </w:r>
      <w:proofErr w:type="spellEnd"/>
      <w:r w:rsidR="006A4DA1">
        <w:t>”)</w:t>
      </w:r>
      <w:r>
        <w:t xml:space="preserve">) relies on </w:t>
      </w:r>
      <w:r w:rsidR="00C41FFB">
        <w:t xml:space="preserve">its </w:t>
      </w:r>
      <w:r>
        <w:t>LSEs</w:t>
      </w:r>
      <w:r w:rsidR="00C41FFB">
        <w:t>, which consist largely of vertically integrated public utilities regulated at the state level,</w:t>
      </w:r>
      <w:r>
        <w:t xml:space="preserve"> to engage in </w:t>
      </w:r>
      <w:r w:rsidR="00C41FFB">
        <w:t xml:space="preserve">reasonable </w:t>
      </w:r>
      <w:r>
        <w:t>long-term generation planning</w:t>
      </w:r>
      <w:r w:rsidR="004E373B">
        <w:t xml:space="preserve">, to plan enough capacity to meet their expected needs, and to </w:t>
      </w:r>
      <w:r w:rsidR="00517BFA">
        <w:t>support the construction and ongoing operation of that generation by making long-term financial commitments through ownership and/or bilateral contracts</w:t>
      </w:r>
      <w:r w:rsidR="004E373B">
        <w:t>.</w:t>
      </w:r>
    </w:p>
    <w:p w14:paraId="7C97B448" w14:textId="00AFCFB3" w:rsidR="00B42DC9" w:rsidRDefault="00B42DC9" w:rsidP="00C15FCE">
      <w:pPr>
        <w:pStyle w:val="A2"/>
      </w:pPr>
      <w:r>
        <w:t xml:space="preserve">Second, while it may </w:t>
      </w:r>
      <w:r w:rsidR="00C41FFB">
        <w:t xml:space="preserve">on the surface </w:t>
      </w:r>
      <w:r>
        <w:t xml:space="preserve">appear attractive for </w:t>
      </w:r>
      <w:proofErr w:type="spellStart"/>
      <w:r>
        <w:t>ETI</w:t>
      </w:r>
      <w:proofErr w:type="spellEnd"/>
      <w:r>
        <w:t xml:space="preserve"> to </w:t>
      </w:r>
      <w:r w:rsidR="00100B48">
        <w:t xml:space="preserve">plan </w:t>
      </w:r>
      <w:r w:rsidR="009D1A45">
        <w:t xml:space="preserve">to meet its expected capacity needs by “leaning” on the </w:t>
      </w:r>
      <w:proofErr w:type="gramStart"/>
      <w:r w:rsidR="009D1A45">
        <w:t xml:space="preserve">PRA, </w:t>
      </w:r>
      <w:r>
        <w:t>that</w:t>
      </w:r>
      <w:proofErr w:type="gramEnd"/>
      <w:r>
        <w:t xml:space="preserve"> would be a poor strategy</w:t>
      </w:r>
      <w:r w:rsidR="00C62409">
        <w:t xml:space="preserve"> </w:t>
      </w:r>
      <w:r w:rsidR="00C41FFB">
        <w:t xml:space="preserve">involving substantial risk to </w:t>
      </w:r>
      <w:proofErr w:type="spellStart"/>
      <w:r w:rsidR="00C41FFB">
        <w:t>ETI</w:t>
      </w:r>
      <w:proofErr w:type="spellEnd"/>
      <w:r w:rsidR="00C41FFB">
        <w:t xml:space="preserve"> customers </w:t>
      </w:r>
      <w:r w:rsidR="00C62409">
        <w:t>over the long-term</w:t>
      </w:r>
      <w:r>
        <w:t>.  In recent certification proceedings, intervenors have pointed to persistently</w:t>
      </w:r>
      <w:r w:rsidR="00BF620E">
        <w:t xml:space="preserve"> </w:t>
      </w:r>
      <w:r>
        <w:t xml:space="preserve">low capacity prices in the PRA to suggest that it would be less costly for </w:t>
      </w:r>
      <w:proofErr w:type="spellStart"/>
      <w:r>
        <w:t>ETI</w:t>
      </w:r>
      <w:proofErr w:type="spellEnd"/>
      <w:r>
        <w:t xml:space="preserve"> to</w:t>
      </w:r>
      <w:r w:rsidR="000263D2">
        <w:t xml:space="preserve"> plan to</w:t>
      </w:r>
      <w:r>
        <w:t xml:space="preserve"> purchase capacity in the PRA than to </w:t>
      </w:r>
      <w:r w:rsidR="00F94F98">
        <w:t>add</w:t>
      </w:r>
      <w:r w:rsidR="008F6535">
        <w:t xml:space="preserve"> new </w:t>
      </w:r>
      <w:r w:rsidR="00C41FFB">
        <w:t xml:space="preserve">long-term </w:t>
      </w:r>
      <w:r w:rsidR="008F6535">
        <w:t xml:space="preserve">generation </w:t>
      </w:r>
      <w:r w:rsidR="009846A3">
        <w:t>in its Texas service territory</w:t>
      </w:r>
      <w:r w:rsidR="008F6535">
        <w:t>.</w:t>
      </w:r>
      <w:r>
        <w:t xml:space="preserve">  It is true that PRA prices have been low, but </w:t>
      </w:r>
      <w:proofErr w:type="spellStart"/>
      <w:r>
        <w:t>ETI</w:t>
      </w:r>
      <w:proofErr w:type="spellEnd"/>
      <w:r>
        <w:t xml:space="preserve"> should not abandon long-term planning.  </w:t>
      </w:r>
      <w:proofErr w:type="spellStart"/>
      <w:r w:rsidR="008062D6">
        <w:t>E</w:t>
      </w:r>
      <w:r w:rsidR="00490F64">
        <w:t>TI</w:t>
      </w:r>
      <w:proofErr w:type="spellEnd"/>
      <w:r w:rsidR="00490F64">
        <w:t xml:space="preserve"> </w:t>
      </w:r>
      <w:r w:rsidR="00EE21B1">
        <w:t xml:space="preserve">can and </w:t>
      </w:r>
      <w:r w:rsidR="00490F64">
        <w:t xml:space="preserve">does </w:t>
      </w:r>
      <w:r w:rsidR="00EE21B1">
        <w:t xml:space="preserve">reasonably </w:t>
      </w:r>
      <w:r w:rsidR="00490F64">
        <w:t>avail itself of p</w:t>
      </w:r>
      <w:r w:rsidR="00EE21B1">
        <w:t xml:space="preserve">urchases in the </w:t>
      </w:r>
      <w:r w:rsidR="00542264">
        <w:t xml:space="preserve">annual </w:t>
      </w:r>
      <w:r w:rsidR="00EE21B1">
        <w:t>PRA to balance near-term capacity deficits</w:t>
      </w:r>
      <w:r w:rsidR="00597EA2">
        <w:t xml:space="preserve">. </w:t>
      </w:r>
      <w:r w:rsidR="00EE21B1">
        <w:t xml:space="preserve"> </w:t>
      </w:r>
      <w:r w:rsidR="00597EA2">
        <w:t>However, a</w:t>
      </w:r>
      <w:r>
        <w:t xml:space="preserve">s noted above, the PRA is not a substitute for long-term </w:t>
      </w:r>
      <w:r>
        <w:lastRenderedPageBreak/>
        <w:t xml:space="preserve">planning; it is not designed to send price signals to induce new entry where and when necessary to maintain reliability.  If </w:t>
      </w:r>
      <w:proofErr w:type="spellStart"/>
      <w:r>
        <w:t>ETI</w:t>
      </w:r>
      <w:proofErr w:type="spellEnd"/>
      <w:r>
        <w:t xml:space="preserve"> were to deactivate a significant portion of its aging generation in East Texas, as it is reasonably planning to do, and lean </w:t>
      </w:r>
      <w:r w:rsidR="00C41FFB">
        <w:t>primarily or solely up</w:t>
      </w:r>
      <w:r>
        <w:t xml:space="preserve">on the PRA to replace that capacity, </w:t>
      </w:r>
      <w:r w:rsidR="00263A6F">
        <w:t>it would be unreasonable to expect</w:t>
      </w:r>
      <w:r w:rsidR="00F2780C">
        <w:t xml:space="preserve"> and rely </w:t>
      </w:r>
      <w:r w:rsidR="000013DF">
        <w:t>upon</w:t>
      </w:r>
      <w:r>
        <w:t xml:space="preserve"> merchant entry </w:t>
      </w:r>
      <w:r w:rsidR="00263A6F">
        <w:t>to materialize</w:t>
      </w:r>
      <w:r>
        <w:t xml:space="preserve"> in East Texas</w:t>
      </w:r>
      <w:r w:rsidR="000013DF">
        <w:t xml:space="preserve"> as a means of maintaining reliable and economic service to </w:t>
      </w:r>
      <w:proofErr w:type="spellStart"/>
      <w:r w:rsidR="000013DF">
        <w:t>ETI’s</w:t>
      </w:r>
      <w:proofErr w:type="spellEnd"/>
      <w:r w:rsidR="000013DF">
        <w:t xml:space="preserve"> customers</w:t>
      </w:r>
      <w:r>
        <w:t xml:space="preserve">.  </w:t>
      </w:r>
      <w:r w:rsidR="00913B78">
        <w:t>Rather, u</w:t>
      </w:r>
      <w:r w:rsidR="00C40BB9">
        <w:t xml:space="preserve">nder these circumstances, there would be a </w:t>
      </w:r>
      <w:r w:rsidR="000505F1">
        <w:t>significant</w:t>
      </w:r>
      <w:r w:rsidR="00C40BB9">
        <w:t xml:space="preserve"> reduction of capacity inside the load pocket in which </w:t>
      </w:r>
      <w:proofErr w:type="spellStart"/>
      <w:r w:rsidR="00C40BB9">
        <w:t>ETI’s</w:t>
      </w:r>
      <w:proofErr w:type="spellEnd"/>
      <w:r w:rsidR="00C40BB9">
        <w:t xml:space="preserve"> service territory is located</w:t>
      </w:r>
      <w:r w:rsidR="00680146">
        <w:t>,</w:t>
      </w:r>
      <w:r w:rsidR="00C40BB9">
        <w:t xml:space="preserve"> and therefore</w:t>
      </w:r>
      <w:r w:rsidR="00680146">
        <w:t>,</w:t>
      </w:r>
      <w:r w:rsidR="00C40BB9">
        <w:t xml:space="preserve"> </w:t>
      </w:r>
      <w:r>
        <w:t xml:space="preserve">a higher risk of local scarcity events, a higher risk of involuntary load shed, and </w:t>
      </w:r>
      <w:proofErr w:type="spellStart"/>
      <w:r>
        <w:t>ETI</w:t>
      </w:r>
      <w:proofErr w:type="spellEnd"/>
      <w:r>
        <w:t xml:space="preserve"> would have a </w:t>
      </w:r>
      <w:r w:rsidR="000013DF">
        <w:t xml:space="preserve">much </w:t>
      </w:r>
      <w:r>
        <w:t>larger net short position and more exposure to price spikes</w:t>
      </w:r>
      <w:r w:rsidR="000013DF">
        <w:t xml:space="preserve"> than it already does</w:t>
      </w:r>
      <w:r>
        <w:t>.</w:t>
      </w:r>
      <w:r w:rsidR="005A3ED0">
        <w:rPr>
          <w:rStyle w:val="FootnoteReference"/>
        </w:rPr>
        <w:footnoteReference w:id="2"/>
      </w:r>
      <w:r>
        <w:t xml:space="preserve">  These are not abstract concerns.  </w:t>
      </w:r>
      <w:proofErr w:type="spellStart"/>
      <w:r>
        <w:t>ETI</w:t>
      </w:r>
      <w:proofErr w:type="spellEnd"/>
      <w:r>
        <w:t xml:space="preserve"> experienced local shortages twice during the past year</w:t>
      </w:r>
      <w:r w:rsidR="00CA299E">
        <w:t xml:space="preserve"> following</w:t>
      </w:r>
      <w:r>
        <w:t xml:space="preserve"> Hurricane Laura and Winter Storm Uri and was exposed to extreme</w:t>
      </w:r>
      <w:r w:rsidR="00DC06D1">
        <w:t>ly high</w:t>
      </w:r>
      <w:r>
        <w:t xml:space="preserve"> spot prices and forced to </w:t>
      </w:r>
      <w:r w:rsidR="000F2400">
        <w:t>shed</w:t>
      </w:r>
      <w:r>
        <w:t xml:space="preserve"> </w:t>
      </w:r>
      <w:r w:rsidR="000F47B4">
        <w:t xml:space="preserve">firm </w:t>
      </w:r>
      <w:r>
        <w:t>customer</w:t>
      </w:r>
      <w:r w:rsidR="000F2400">
        <w:t xml:space="preserve"> load</w:t>
      </w:r>
      <w:r>
        <w:t xml:space="preserve"> during both</w:t>
      </w:r>
      <w:r w:rsidR="00913B78">
        <w:t xml:space="preserve"> events</w:t>
      </w:r>
      <w:r>
        <w:t>.</w:t>
      </w:r>
      <w:r w:rsidR="00913B78">
        <w:t xml:space="preserve">  In addition, MISO is proposing changes to its resource adequacy construct that would impose new restrictions to prevent LSEs from relying too heavily on the PRA to meet their expected capacity needs and impose penalties upon those who do.</w:t>
      </w:r>
    </w:p>
    <w:p w14:paraId="62EC28F6" w14:textId="6BB52DAF" w:rsidR="00B42DC9" w:rsidRDefault="00B42DC9" w:rsidP="00C15FCE">
      <w:pPr>
        <w:pStyle w:val="A2"/>
      </w:pPr>
      <w:r>
        <w:t xml:space="preserve">Third, </w:t>
      </w:r>
      <w:proofErr w:type="spellStart"/>
      <w:r>
        <w:t>ETI</w:t>
      </w:r>
      <w:proofErr w:type="spellEnd"/>
      <w:r>
        <w:t xml:space="preserve"> has reasonably chosen to value </w:t>
      </w:r>
      <w:r w:rsidR="001F191B">
        <w:t>OCAPS</w:t>
      </w:r>
      <w:r>
        <w:t xml:space="preserve"> by comparing the cost of </w:t>
      </w:r>
      <w:r w:rsidR="001F191B">
        <w:t>OCAPS</w:t>
      </w:r>
      <w:r>
        <w:t xml:space="preserve"> to the cost of an alternative source of real, physical capacity </w:t>
      </w:r>
      <w:r w:rsidR="00AB5186">
        <w:t>(</w:t>
      </w:r>
      <w:r>
        <w:t xml:space="preserve">in this case, as measured by the cost of a new combustion turbine), rather than a projection of the PRA price.  This makes sense because, consistent with the MISO resource adequacy </w:t>
      </w:r>
      <w:r>
        <w:lastRenderedPageBreak/>
        <w:t xml:space="preserve">construct, </w:t>
      </w:r>
      <w:proofErr w:type="spellStart"/>
      <w:r>
        <w:t>ETI</w:t>
      </w:r>
      <w:proofErr w:type="spellEnd"/>
      <w:r>
        <w:t xml:space="preserve"> has reasonably chosen to meet its </w:t>
      </w:r>
      <w:r w:rsidR="009D1A45">
        <w:t>expected</w:t>
      </w:r>
      <w:r w:rsidR="006921ED">
        <w:t xml:space="preserve"> </w:t>
      </w:r>
      <w:r>
        <w:t>capacity needs through ownership</w:t>
      </w:r>
      <w:r w:rsidR="005B30DA">
        <w:t xml:space="preserve"> of</w:t>
      </w:r>
      <w:r>
        <w:t xml:space="preserve"> and </w:t>
      </w:r>
      <w:r w:rsidR="00D508ED">
        <w:t>bilateral</w:t>
      </w:r>
      <w:r>
        <w:t xml:space="preserve"> contracts</w:t>
      </w:r>
      <w:r w:rsidR="005B30DA">
        <w:t xml:space="preserve"> with long-term resources</w:t>
      </w:r>
      <w:r>
        <w:t xml:space="preserve">.  It would not make sense to compare the cost of </w:t>
      </w:r>
      <w:r w:rsidR="001F191B">
        <w:t>OCAPS</w:t>
      </w:r>
      <w:r>
        <w:t xml:space="preserve"> to the cost to purchase capacity in the PRA because</w:t>
      </w:r>
      <w:r w:rsidR="00C31980">
        <w:t xml:space="preserve"> </w:t>
      </w:r>
      <w:proofErr w:type="spellStart"/>
      <w:r w:rsidR="00C31980">
        <w:t>ETI</w:t>
      </w:r>
      <w:proofErr w:type="spellEnd"/>
      <w:r w:rsidR="00C31980">
        <w:t xml:space="preserve"> has reasonably decided not to rely on PRA purchases as a long-term strategy.  Further, such a comparison would not make sense because PRA purchases are not comparable to physical capacity</w:t>
      </w:r>
      <w:r w:rsidR="001F2CA2">
        <w:t>; in particular, unlike physical capacity, PRA purchases</w:t>
      </w:r>
      <w:r w:rsidR="00C31980">
        <w:t xml:space="preserve"> do not contribute to local reliability or hedge exposure to energy prices.</w:t>
      </w:r>
      <w:r w:rsidR="002B7E72">
        <w:t xml:space="preserve">  </w:t>
      </w:r>
    </w:p>
    <w:p w14:paraId="608228B1" w14:textId="5CB4C123" w:rsidR="00977B29" w:rsidRDefault="00B42DC9" w:rsidP="00C15FCE">
      <w:pPr>
        <w:pStyle w:val="A2"/>
      </w:pPr>
      <w:r>
        <w:t xml:space="preserve">Fourth, </w:t>
      </w:r>
      <w:proofErr w:type="spellStart"/>
      <w:r w:rsidR="00B058F9">
        <w:t>ETI’s</w:t>
      </w:r>
      <w:proofErr w:type="spellEnd"/>
      <w:r w:rsidR="00B058F9">
        <w:t xml:space="preserve"> long-term planning reserve margin target reflects the amount of capacity that must be planned to </w:t>
      </w:r>
      <w:r w:rsidR="00977B29">
        <w:t>achieve</w:t>
      </w:r>
      <w:r w:rsidR="00B058F9">
        <w:t xml:space="preserve"> resource adequac</w:t>
      </w:r>
      <w:r w:rsidR="00CE03A1">
        <w:t>y</w:t>
      </w:r>
      <w:r w:rsidR="00977B29">
        <w:t xml:space="preserve">.  The </w:t>
      </w:r>
      <w:r w:rsidR="00D45651">
        <w:t xml:space="preserve">planning </w:t>
      </w:r>
      <w:r w:rsidR="00977B29">
        <w:t>reserve margin required to achieve resource adequacy increases as a function of uncertainty in the load forecast</w:t>
      </w:r>
      <w:r w:rsidR="00913B78">
        <w:t>,</w:t>
      </w:r>
      <w:r w:rsidR="004A5195">
        <w:t xml:space="preserve"> and u</w:t>
      </w:r>
      <w:r w:rsidR="00977B29">
        <w:t xml:space="preserve">ncertainty in the load forecast increases as a function of </w:t>
      </w:r>
      <w:r w:rsidR="00E323B7">
        <w:t>the length of the forecast.</w:t>
      </w:r>
      <w:r w:rsidR="00977B29">
        <w:t xml:space="preserve">  Because it takes approximately four years to plan a new resource, </w:t>
      </w:r>
      <w:proofErr w:type="spellStart"/>
      <w:r w:rsidR="00977B29">
        <w:t>ETI’s</w:t>
      </w:r>
      <w:proofErr w:type="spellEnd"/>
      <w:r w:rsidR="00977B29">
        <w:t xml:space="preserve"> long-term planning reserve margin target is reasonably calculated using an </w:t>
      </w:r>
      <w:r w:rsidR="0019084D">
        <w:t>estimate of uncertainty in the four-year-ahead load forecast.</w:t>
      </w:r>
    </w:p>
    <w:p w14:paraId="381998BA" w14:textId="3C1B5969" w:rsidR="00161286" w:rsidRDefault="00161286" w:rsidP="00C15FCE">
      <w:pPr>
        <w:pStyle w:val="A"/>
      </w:pPr>
    </w:p>
    <w:p w14:paraId="5288FD15" w14:textId="210465AA" w:rsidR="00161286" w:rsidRPr="009475F6" w:rsidRDefault="009E7FA3" w:rsidP="00161286">
      <w:pPr>
        <w:pStyle w:val="Heading1"/>
      </w:pPr>
      <w:bookmarkStart w:id="3" w:name="_Toc82439997"/>
      <w:r>
        <w:t xml:space="preserve">The </w:t>
      </w:r>
      <w:r w:rsidR="008A2F5E">
        <w:t>MISO Resource Adequacy Construct</w:t>
      </w:r>
      <w:bookmarkEnd w:id="3"/>
    </w:p>
    <w:p w14:paraId="6C61E40B" w14:textId="15387F63" w:rsidR="00161286" w:rsidRPr="00D61962" w:rsidRDefault="00FE458B" w:rsidP="00161286">
      <w:pPr>
        <w:pStyle w:val="QUESTION"/>
      </w:pPr>
      <w:r>
        <w:t xml:space="preserve">DOES MISO HAVE A TARGET </w:t>
      </w:r>
      <w:r w:rsidR="00D45651">
        <w:t xml:space="preserve">planning </w:t>
      </w:r>
      <w:r>
        <w:t>RESERVE MARGIN?</w:t>
      </w:r>
    </w:p>
    <w:p w14:paraId="4AD7208F" w14:textId="12A7D8DA" w:rsidR="00844180" w:rsidRDefault="00161286" w:rsidP="000A4E4B">
      <w:pPr>
        <w:pStyle w:val="A"/>
        <w:rPr>
          <w:rFonts w:cs="Arial"/>
        </w:rPr>
      </w:pPr>
      <w:r w:rsidRPr="00D61962">
        <w:t>A.</w:t>
      </w:r>
      <w:r w:rsidRPr="00D61962">
        <w:tab/>
      </w:r>
      <w:r w:rsidR="006C61E9">
        <w:rPr>
          <w:rFonts w:cs="Arial"/>
        </w:rPr>
        <w:t>Yes.</w:t>
      </w:r>
      <w:r w:rsidR="00997A5B">
        <w:rPr>
          <w:rFonts w:cs="Arial"/>
        </w:rPr>
        <w:t xml:space="preserve">  </w:t>
      </w:r>
      <w:r w:rsidR="00913B78">
        <w:rPr>
          <w:rFonts w:cs="Arial"/>
        </w:rPr>
        <w:t xml:space="preserve">Although MISO does not establish a long-term planning reserve margin requirement for LSEs within its footprint, it does establish such a target planning reserve margin on an annual basis, and LSEs must procure sufficient capacity each year to comply with that target.  </w:t>
      </w:r>
      <w:proofErr w:type="spellStart"/>
      <w:r w:rsidR="00E0762F">
        <w:rPr>
          <w:rFonts w:cs="Arial"/>
        </w:rPr>
        <w:t>MISO’s</w:t>
      </w:r>
      <w:proofErr w:type="spellEnd"/>
      <w:r w:rsidR="00E0762F">
        <w:rPr>
          <w:rFonts w:cs="Arial"/>
        </w:rPr>
        <w:t xml:space="preserve"> target</w:t>
      </w:r>
      <w:r w:rsidR="007E4AE6">
        <w:rPr>
          <w:rFonts w:cs="Arial"/>
        </w:rPr>
        <w:t xml:space="preserve"> </w:t>
      </w:r>
      <w:r w:rsidR="00D45651">
        <w:t xml:space="preserve">planning </w:t>
      </w:r>
      <w:r w:rsidR="007E4AE6">
        <w:rPr>
          <w:rFonts w:cs="Arial"/>
        </w:rPr>
        <w:t>reserve margin is</w:t>
      </w:r>
      <w:r w:rsidR="0027167A">
        <w:rPr>
          <w:rFonts w:cs="Arial"/>
        </w:rPr>
        <w:t xml:space="preserve"> expressed as a percentage of</w:t>
      </w:r>
      <w:r w:rsidR="00020DC1">
        <w:rPr>
          <w:rFonts w:cs="Arial"/>
        </w:rPr>
        <w:t xml:space="preserve"> </w:t>
      </w:r>
      <w:r w:rsidR="00E0762F">
        <w:rPr>
          <w:rFonts w:cs="Arial"/>
        </w:rPr>
        <w:t>the</w:t>
      </w:r>
      <w:r w:rsidR="00020DC1">
        <w:rPr>
          <w:rFonts w:cs="Arial"/>
        </w:rPr>
        <w:t xml:space="preserve"> MISO-</w:t>
      </w:r>
      <w:r w:rsidR="0027167A">
        <w:rPr>
          <w:rFonts w:cs="Arial"/>
        </w:rPr>
        <w:t>coincident peak load forecast</w:t>
      </w:r>
      <w:r w:rsidR="005521CF">
        <w:rPr>
          <w:rFonts w:cs="Arial"/>
        </w:rPr>
        <w:t xml:space="preserve"> for the upcoming delivery year</w:t>
      </w:r>
      <w:r w:rsidR="007E4AE6">
        <w:rPr>
          <w:rFonts w:cs="Arial"/>
        </w:rPr>
        <w:t xml:space="preserve"> and is calculated such that, </w:t>
      </w:r>
      <w:r w:rsidR="00BC50E5">
        <w:rPr>
          <w:rFonts w:cs="Arial"/>
        </w:rPr>
        <w:t>o</w:t>
      </w:r>
      <w:r w:rsidR="005521CF">
        <w:rPr>
          <w:rFonts w:cs="Arial"/>
        </w:rPr>
        <w:t xml:space="preserve">n an expected basis, </w:t>
      </w:r>
      <w:r w:rsidR="007E4AE6">
        <w:rPr>
          <w:rFonts w:cs="Arial"/>
        </w:rPr>
        <w:t>the</w:t>
      </w:r>
      <w:r w:rsidR="00D61B17">
        <w:rPr>
          <w:rFonts w:cs="Arial"/>
        </w:rPr>
        <w:t xml:space="preserve">re is a 10% probability that firm </w:t>
      </w:r>
      <w:r w:rsidR="00D61B17">
        <w:rPr>
          <w:rFonts w:cs="Arial"/>
        </w:rPr>
        <w:lastRenderedPageBreak/>
        <w:t xml:space="preserve">load will </w:t>
      </w:r>
      <w:r w:rsidR="00D13093">
        <w:rPr>
          <w:rFonts w:cs="Arial"/>
        </w:rPr>
        <w:t xml:space="preserve">need to </w:t>
      </w:r>
      <w:r w:rsidR="00D61B17">
        <w:rPr>
          <w:rFonts w:cs="Arial"/>
        </w:rPr>
        <w:t xml:space="preserve">be curtailed in the upcoming year.  </w:t>
      </w:r>
      <w:r w:rsidR="005521CF">
        <w:rPr>
          <w:rFonts w:cs="Arial"/>
        </w:rPr>
        <w:t xml:space="preserve">For example, </w:t>
      </w:r>
      <w:proofErr w:type="spellStart"/>
      <w:r w:rsidR="00AE0977">
        <w:rPr>
          <w:rFonts w:cs="Arial"/>
        </w:rPr>
        <w:t>MISO’s</w:t>
      </w:r>
      <w:proofErr w:type="spellEnd"/>
      <w:r w:rsidR="00AE0977">
        <w:rPr>
          <w:rFonts w:cs="Arial"/>
        </w:rPr>
        <w:t xml:space="preserve"> </w:t>
      </w:r>
      <w:r w:rsidR="00E0762F">
        <w:rPr>
          <w:rFonts w:cs="Arial"/>
        </w:rPr>
        <w:t xml:space="preserve">target </w:t>
      </w:r>
      <w:r w:rsidR="00D45651">
        <w:t xml:space="preserve">planning </w:t>
      </w:r>
      <w:r w:rsidR="00AE0977">
        <w:rPr>
          <w:rFonts w:cs="Arial"/>
        </w:rPr>
        <w:t xml:space="preserve">reserve margin for the </w:t>
      </w:r>
      <w:r w:rsidR="005521CF">
        <w:rPr>
          <w:rFonts w:cs="Arial"/>
        </w:rPr>
        <w:t>June 2021-May 2022 delivery</w:t>
      </w:r>
      <w:r w:rsidR="00AE0977">
        <w:rPr>
          <w:rFonts w:cs="Arial"/>
        </w:rPr>
        <w:t xml:space="preserve"> year </w:t>
      </w:r>
      <w:r w:rsidR="00E0762F">
        <w:rPr>
          <w:rFonts w:cs="Arial"/>
        </w:rPr>
        <w:t>is</w:t>
      </w:r>
      <w:r w:rsidR="00AE0977">
        <w:rPr>
          <w:rFonts w:cs="Arial"/>
        </w:rPr>
        <w:t xml:space="preserve"> 9.4%.</w:t>
      </w:r>
      <w:r w:rsidR="005521CF">
        <w:rPr>
          <w:rFonts w:cs="Arial"/>
        </w:rPr>
        <w:t xml:space="preserve">  This means that if </w:t>
      </w:r>
      <w:r w:rsidR="00A05725">
        <w:rPr>
          <w:rFonts w:cs="Arial"/>
        </w:rPr>
        <w:t xml:space="preserve">the forecast of </w:t>
      </w:r>
      <w:proofErr w:type="spellStart"/>
      <w:r w:rsidR="00A05725">
        <w:rPr>
          <w:rFonts w:cs="Arial"/>
        </w:rPr>
        <w:t>MISO’s</w:t>
      </w:r>
      <w:proofErr w:type="spellEnd"/>
      <w:r w:rsidR="00A05725">
        <w:rPr>
          <w:rFonts w:cs="Arial"/>
        </w:rPr>
        <w:t xml:space="preserve"> </w:t>
      </w:r>
      <w:r w:rsidR="005521CF">
        <w:rPr>
          <w:rFonts w:cs="Arial"/>
        </w:rPr>
        <w:t xml:space="preserve">coincident peak load </w:t>
      </w:r>
      <w:r w:rsidR="00B406F0">
        <w:rPr>
          <w:rFonts w:cs="Arial"/>
        </w:rPr>
        <w:t>for the upcoming year</w:t>
      </w:r>
      <w:r w:rsidR="00CA179E">
        <w:rPr>
          <w:rFonts w:cs="Arial"/>
        </w:rPr>
        <w:t xml:space="preserve"> and the amount of capacity</w:t>
      </w:r>
      <w:r w:rsidR="00A05725">
        <w:rPr>
          <w:rFonts w:cs="Arial"/>
        </w:rPr>
        <w:t xml:space="preserve"> in MISO</w:t>
      </w:r>
      <w:r w:rsidR="00CA179E">
        <w:rPr>
          <w:rFonts w:cs="Arial"/>
        </w:rPr>
        <w:t xml:space="preserve"> were </w:t>
      </w:r>
      <w:r w:rsidR="005521CF">
        <w:rPr>
          <w:rFonts w:cs="Arial"/>
        </w:rPr>
        <w:t xml:space="preserve">100 </w:t>
      </w:r>
      <w:proofErr w:type="spellStart"/>
      <w:r w:rsidR="00EC6E1E">
        <w:rPr>
          <w:rFonts w:cs="Arial"/>
        </w:rPr>
        <w:t>GW</w:t>
      </w:r>
      <w:proofErr w:type="spellEnd"/>
      <w:r w:rsidR="00CA179E">
        <w:rPr>
          <w:rFonts w:cs="Arial"/>
        </w:rPr>
        <w:t xml:space="preserve"> and</w:t>
      </w:r>
      <w:r w:rsidR="005521CF">
        <w:rPr>
          <w:rFonts w:cs="Arial"/>
        </w:rPr>
        <w:t xml:space="preserve"> 109.</w:t>
      </w:r>
      <w:r w:rsidR="00AE0977">
        <w:rPr>
          <w:rFonts w:cs="Arial"/>
        </w:rPr>
        <w:t>4</w:t>
      </w:r>
      <w:r w:rsidR="005521CF">
        <w:rPr>
          <w:rFonts w:cs="Arial"/>
        </w:rPr>
        <w:t xml:space="preserve"> </w:t>
      </w:r>
      <w:proofErr w:type="spellStart"/>
      <w:r w:rsidR="00EC6E1E">
        <w:rPr>
          <w:rFonts w:cs="Arial"/>
        </w:rPr>
        <w:t>GW</w:t>
      </w:r>
      <w:proofErr w:type="spellEnd"/>
      <w:r w:rsidR="00CA179E">
        <w:rPr>
          <w:rFonts w:cs="Arial"/>
        </w:rPr>
        <w:t xml:space="preserve">, respectively, then </w:t>
      </w:r>
      <w:r w:rsidR="00D13093">
        <w:rPr>
          <w:rFonts w:cs="Arial"/>
        </w:rPr>
        <w:t>MISO would expect the probability of firm load curtailment to be 10%.</w:t>
      </w:r>
      <w:r w:rsidR="007E4AE6">
        <w:rPr>
          <w:rFonts w:cs="Arial"/>
        </w:rPr>
        <w:t xml:space="preserve">  </w:t>
      </w:r>
      <w:r w:rsidR="00D13093">
        <w:rPr>
          <w:rFonts w:cs="Arial"/>
        </w:rPr>
        <w:t>A 10% probability of having to curtail firm load in each year translates to an expectation that firm load curtailment will occur once every ten years.  This</w:t>
      </w:r>
      <w:r w:rsidR="00EC6E1E">
        <w:rPr>
          <w:rFonts w:cs="Arial"/>
        </w:rPr>
        <w:t xml:space="preserve"> “1-in-10” </w:t>
      </w:r>
      <w:r w:rsidR="00742FAB">
        <w:rPr>
          <w:rFonts w:cs="Arial"/>
        </w:rPr>
        <w:t>standard</w:t>
      </w:r>
      <w:r w:rsidR="00B406F0">
        <w:rPr>
          <w:rFonts w:cs="Arial"/>
        </w:rPr>
        <w:t xml:space="preserve"> </w:t>
      </w:r>
      <w:r w:rsidR="000F287A">
        <w:rPr>
          <w:rFonts w:cs="Arial"/>
        </w:rPr>
        <w:t xml:space="preserve">is commonly used to quantify </w:t>
      </w:r>
      <w:r w:rsidR="00C5481B">
        <w:rPr>
          <w:rFonts w:cs="Arial"/>
        </w:rPr>
        <w:t xml:space="preserve">the amount of </w:t>
      </w:r>
      <w:r w:rsidR="00E14A12">
        <w:rPr>
          <w:rFonts w:cs="Arial"/>
        </w:rPr>
        <w:t>capacity</w:t>
      </w:r>
      <w:r w:rsidR="0085423F">
        <w:rPr>
          <w:rFonts w:cs="Arial"/>
        </w:rPr>
        <w:t xml:space="preserve"> that would be</w:t>
      </w:r>
      <w:r w:rsidR="00C5481B">
        <w:rPr>
          <w:rFonts w:cs="Arial"/>
        </w:rPr>
        <w:t xml:space="preserve"> adequate to serve customer needs.</w:t>
      </w:r>
    </w:p>
    <w:p w14:paraId="31877593" w14:textId="0C95BCCD" w:rsidR="00161286" w:rsidRDefault="00161286" w:rsidP="00C15FCE">
      <w:pPr>
        <w:pStyle w:val="A"/>
      </w:pPr>
    </w:p>
    <w:p w14:paraId="77429ECF" w14:textId="29364E59" w:rsidR="0089538E" w:rsidRPr="00D61962" w:rsidRDefault="0089538E" w:rsidP="0089538E">
      <w:pPr>
        <w:pStyle w:val="QUESTION"/>
      </w:pPr>
      <w:r>
        <w:t>DOES MISO CONDUCT A CAPACITY AUCTION?</w:t>
      </w:r>
    </w:p>
    <w:p w14:paraId="440412DB" w14:textId="7A0BBDAF" w:rsidR="00D95394" w:rsidRDefault="0089538E" w:rsidP="0089538E">
      <w:pPr>
        <w:pStyle w:val="A"/>
      </w:pPr>
      <w:r w:rsidRPr="00D61962">
        <w:t>A.</w:t>
      </w:r>
      <w:r w:rsidRPr="00D61962">
        <w:tab/>
      </w:r>
      <w:r>
        <w:t>Yes.  MISO conducts a</w:t>
      </w:r>
      <w:r w:rsidR="009340D8">
        <w:t>n annual</w:t>
      </w:r>
      <w:r>
        <w:t xml:space="preserve"> capacity auctio</w:t>
      </w:r>
      <w:r w:rsidR="00C90EFB">
        <w:t xml:space="preserve">n – the PRA – in the </w:t>
      </w:r>
      <w:r>
        <w:t xml:space="preserve">spring of each year to commit capacity for the upcoming June-May delivery period.  Demand in the </w:t>
      </w:r>
      <w:r w:rsidR="00C90EFB">
        <w:t>auction</w:t>
      </w:r>
      <w:r>
        <w:t xml:space="preserve"> is equal to the sum of each LSE’s </w:t>
      </w:r>
      <w:r w:rsidR="002D2CFD">
        <w:t>MISO-</w:t>
      </w:r>
      <w:r>
        <w:t xml:space="preserve">coincident peak load forecast plus the MISO target </w:t>
      </w:r>
      <w:r w:rsidR="00D45651">
        <w:t xml:space="preserve">planning </w:t>
      </w:r>
      <w:r>
        <w:t xml:space="preserve">reserve margin.  Supply in the </w:t>
      </w:r>
      <w:r w:rsidR="00C90EFB">
        <w:t>auction</w:t>
      </w:r>
      <w:r>
        <w:t xml:space="preserve"> is represented by offers from generators to provide capacity</w:t>
      </w:r>
      <w:r w:rsidR="0050209F">
        <w:t>, which entails an obligation to submit an offer in the energy market on each day</w:t>
      </w:r>
      <w:r w:rsidR="005B30DA">
        <w:t xml:space="preserve"> of the delivery period</w:t>
      </w:r>
      <w:r w:rsidR="0050209F">
        <w:t xml:space="preserve"> that the generator is not on an outage.</w:t>
      </w:r>
    </w:p>
    <w:p w14:paraId="51D35F30" w14:textId="41EABE6E" w:rsidR="0089538E" w:rsidRDefault="0089538E" w:rsidP="00C15FCE">
      <w:pPr>
        <w:pStyle w:val="A2"/>
      </w:pPr>
      <w:r>
        <w:t xml:space="preserve">The </w:t>
      </w:r>
      <w:r w:rsidR="007C4F28">
        <w:t xml:space="preserve">annual </w:t>
      </w:r>
      <w:r w:rsidR="00C90EFB">
        <w:t>auction</w:t>
      </w:r>
      <w:r>
        <w:t xml:space="preserve"> includes constraints that represent the minimum amount of capacity deemed necessary to maintain resource adequacy in each of </w:t>
      </w:r>
      <w:r w:rsidR="00680146">
        <w:t xml:space="preserve">ten </w:t>
      </w:r>
      <w:r>
        <w:t>zones</w:t>
      </w:r>
      <w:r w:rsidR="007C4F28">
        <w:t xml:space="preserve"> for the </w:t>
      </w:r>
      <w:r w:rsidR="002D2CFD">
        <w:t>upcoming</w:t>
      </w:r>
      <w:r w:rsidR="007C4F28">
        <w:t xml:space="preserve"> planning year</w:t>
      </w:r>
      <w:r w:rsidR="00BA5E21">
        <w:t>.  The</w:t>
      </w:r>
      <w:r w:rsidR="00263A6F">
        <w:t>se</w:t>
      </w:r>
      <w:r w:rsidR="00BA5E21">
        <w:t xml:space="preserve"> zones are referred to as </w:t>
      </w:r>
      <w:r w:rsidR="00D95394">
        <w:t>Local Resource Zones (“</w:t>
      </w:r>
      <w:proofErr w:type="spellStart"/>
      <w:r w:rsidR="00D95394">
        <w:t>LRZ</w:t>
      </w:r>
      <w:proofErr w:type="spellEnd"/>
      <w:r w:rsidR="00D95394">
        <w:t>”)</w:t>
      </w:r>
      <w:r w:rsidR="00913B78">
        <w:t>,</w:t>
      </w:r>
      <w:r w:rsidR="00BA5E21">
        <w:t xml:space="preserve"> and the minimum amount of capacity required i</w:t>
      </w:r>
      <w:r w:rsidR="00FB779F">
        <w:t>n</w:t>
      </w:r>
      <w:r w:rsidR="00BA5E21">
        <w:t xml:space="preserve"> each zone </w:t>
      </w:r>
      <w:r w:rsidR="00FB779F">
        <w:t>is</w:t>
      </w:r>
      <w:r w:rsidR="00BA5E21">
        <w:t xml:space="preserve"> referred to as</w:t>
      </w:r>
      <w:r w:rsidR="00FB779F">
        <w:t xml:space="preserve"> that zone’s</w:t>
      </w:r>
      <w:r w:rsidR="00BA5E21">
        <w:t xml:space="preserve"> Local Clearing Requirement (“</w:t>
      </w:r>
      <w:proofErr w:type="spellStart"/>
      <w:r w:rsidR="00BA5E21">
        <w:t>LCR</w:t>
      </w:r>
      <w:proofErr w:type="spellEnd"/>
      <w:r w:rsidR="00BA5E21">
        <w:t>”).</w:t>
      </w:r>
      <w:r w:rsidR="00D95394">
        <w:t xml:space="preserve">  </w:t>
      </w:r>
      <w:proofErr w:type="spellStart"/>
      <w:r w:rsidR="00BA5E21">
        <w:t>ETI’s</w:t>
      </w:r>
      <w:proofErr w:type="spellEnd"/>
      <w:r w:rsidR="00BA5E21">
        <w:t xml:space="preserve"> service territory is located within </w:t>
      </w:r>
      <w:proofErr w:type="spellStart"/>
      <w:r w:rsidR="00BA5E21">
        <w:t>LRZ</w:t>
      </w:r>
      <w:proofErr w:type="spellEnd"/>
      <w:r w:rsidR="00BA5E21">
        <w:t xml:space="preserve"> 9, which incorporates the Texas and Louisiana portions of MISO.  </w:t>
      </w:r>
      <w:r w:rsidR="006D051D">
        <w:t xml:space="preserve">In addition to the minimum requirements for each </w:t>
      </w:r>
      <w:proofErr w:type="spellStart"/>
      <w:r w:rsidR="006D051D">
        <w:t>LRZ</w:t>
      </w:r>
      <w:proofErr w:type="spellEnd"/>
      <w:r w:rsidR="006D051D">
        <w:t xml:space="preserve">, the auction also includes </w:t>
      </w:r>
      <w:r w:rsidR="006D051D">
        <w:lastRenderedPageBreak/>
        <w:t xml:space="preserve">constraints to commit a minimum amount of capacity </w:t>
      </w:r>
      <w:r w:rsidR="00A3572B">
        <w:t xml:space="preserve">in </w:t>
      </w:r>
      <w:r w:rsidR="003A6707">
        <w:t xml:space="preserve">the </w:t>
      </w:r>
      <w:r w:rsidR="00A3572B">
        <w:t xml:space="preserve">two </w:t>
      </w:r>
      <w:proofErr w:type="spellStart"/>
      <w:r w:rsidR="003A6707">
        <w:t>subregions</w:t>
      </w:r>
      <w:proofErr w:type="spellEnd"/>
      <w:r w:rsidR="003A6707">
        <w:t xml:space="preserve"> of MISO </w:t>
      </w:r>
      <w:r w:rsidR="00A3572B">
        <w:t>– MISO South and MISO North</w:t>
      </w:r>
      <w:r w:rsidR="003A6707">
        <w:t>/Central</w:t>
      </w:r>
      <w:r w:rsidR="00A3572B">
        <w:t>.</w:t>
      </w:r>
    </w:p>
    <w:p w14:paraId="79477EC8" w14:textId="1FA7E8ED" w:rsidR="00D95394" w:rsidRDefault="0089538E" w:rsidP="00C15FCE">
      <w:pPr>
        <w:pStyle w:val="A2"/>
      </w:pPr>
      <w:r>
        <w:t>MISO clears the</w:t>
      </w:r>
      <w:r w:rsidR="00C90EFB">
        <w:t xml:space="preserve"> auction</w:t>
      </w:r>
      <w:r>
        <w:t xml:space="preserve"> with an objective to minimize the as-offered cost of cleared capacity, subject to constraints </w:t>
      </w:r>
      <w:r w:rsidR="001B17E1">
        <w:t xml:space="preserve">that ensure </w:t>
      </w:r>
      <w:r>
        <w:t>enough capacity</w:t>
      </w:r>
      <w:r w:rsidR="00322FFB">
        <w:t xml:space="preserve"> </w:t>
      </w:r>
      <w:r w:rsidR="001B17E1">
        <w:t xml:space="preserve">is cleared </w:t>
      </w:r>
      <w:r w:rsidR="00322FFB">
        <w:t xml:space="preserve">in each of the 12 zones and in aggregate </w:t>
      </w:r>
      <w:r w:rsidR="006D051D">
        <w:t xml:space="preserve">to meet the target </w:t>
      </w:r>
      <w:r w:rsidR="00D45651">
        <w:t xml:space="preserve">planning </w:t>
      </w:r>
      <w:r w:rsidR="006D051D">
        <w:t>reserve margin</w:t>
      </w:r>
      <w:r w:rsidR="00A3572B">
        <w:t>.</w:t>
      </w:r>
      <w:r>
        <w:t xml:space="preserve">  The auction results include market clearing prices for each zone, which may be different </w:t>
      </w:r>
      <w:r w:rsidR="006771ED">
        <w:t>if</w:t>
      </w:r>
      <w:r>
        <w:t xml:space="preserve"> locational constraints are binding.</w:t>
      </w:r>
      <w:r w:rsidR="00D95394">
        <w:t xml:space="preserve">  In particular, the price in a zone may be higher than in </w:t>
      </w:r>
      <w:r w:rsidR="00A3572B">
        <w:t>other</w:t>
      </w:r>
      <w:r w:rsidR="00D95394">
        <w:t xml:space="preserve"> zones if a higher price</w:t>
      </w:r>
      <w:r w:rsidR="001D5489">
        <w:t xml:space="preserve"> in that zone</w:t>
      </w:r>
      <w:r w:rsidR="00D95394">
        <w:t xml:space="preserve"> is necessary to </w:t>
      </w:r>
      <w:r w:rsidR="00263A6F">
        <w:t>clear</w:t>
      </w:r>
      <w:r w:rsidR="00D95394">
        <w:t xml:space="preserve"> enough capacity to meet</w:t>
      </w:r>
      <w:r w:rsidR="00772464">
        <w:t xml:space="preserve"> the applicable local clearing requirement.</w:t>
      </w:r>
      <w:r>
        <w:t xml:space="preserve"> </w:t>
      </w:r>
    </w:p>
    <w:p w14:paraId="67C5FF4F" w14:textId="60BF9A71" w:rsidR="005810BB" w:rsidRDefault="0089538E" w:rsidP="00C15FCE">
      <w:pPr>
        <w:pStyle w:val="A2"/>
      </w:pPr>
      <w:r>
        <w:t xml:space="preserve">Prices are capped at </w:t>
      </w:r>
      <w:proofErr w:type="spellStart"/>
      <w:r w:rsidR="00383A2C">
        <w:t>MISO’s</w:t>
      </w:r>
      <w:proofErr w:type="spellEnd"/>
      <w:r>
        <w:t xml:space="preserve"> estimate of the levelized cost of a combustion turbine</w:t>
      </w:r>
      <w:r w:rsidR="0067167F">
        <w:t>, also referred to as the Cost of New Entry (“CONE”)</w:t>
      </w:r>
      <w:r>
        <w:t xml:space="preserve">.  Each generator that clears the auction is paid the </w:t>
      </w:r>
      <w:r w:rsidR="00C5422E">
        <w:t xml:space="preserve">market clearing </w:t>
      </w:r>
      <w:r>
        <w:t xml:space="preserve">price of the zone in which the generator is located.  The payments to generators are funded by charges assessed to LSEs, which are based on the price of the zone in which the LSE serves </w:t>
      </w:r>
      <w:r w:rsidR="00322FFB">
        <w:t>customers</w:t>
      </w:r>
      <w:r>
        <w:t>.</w:t>
      </w:r>
      <w:r w:rsidR="00CA021C">
        <w:t xml:space="preserve">  </w:t>
      </w:r>
      <w:r w:rsidR="005810BB">
        <w:t xml:space="preserve">Figure 1 includes a map of the zones and </w:t>
      </w:r>
      <w:r w:rsidR="002052B1">
        <w:t xml:space="preserve">the price for </w:t>
      </w:r>
      <w:proofErr w:type="spellStart"/>
      <w:r w:rsidR="002052B1">
        <w:t>LRZ</w:t>
      </w:r>
      <w:proofErr w:type="spellEnd"/>
      <w:r w:rsidR="002052B1">
        <w:t xml:space="preserve"> 9 during the past </w:t>
      </w:r>
      <w:r w:rsidR="00A574D2">
        <w:t>eight</w:t>
      </w:r>
      <w:r w:rsidR="002052B1">
        <w:t xml:space="preserve"> </w:t>
      </w:r>
      <w:r w:rsidR="00CA021C">
        <w:t>years</w:t>
      </w:r>
      <w:r w:rsidR="002052B1">
        <w:t>.  As can be seen from the figure, the price has been very lo</w:t>
      </w:r>
      <w:r w:rsidR="00337331">
        <w:t xml:space="preserve">w – </w:t>
      </w:r>
      <w:r w:rsidR="009C00AA">
        <w:t xml:space="preserve">approximately </w:t>
      </w:r>
      <w:r w:rsidR="002052B1">
        <w:t>$</w:t>
      </w:r>
      <w:r w:rsidR="00A574D2">
        <w:t>6</w:t>
      </w:r>
      <w:r w:rsidR="002052B1">
        <w:t xml:space="preserve">/MW-day on average.  For reference, MISO </w:t>
      </w:r>
      <w:r w:rsidR="00CA179E">
        <w:t xml:space="preserve">has estimated </w:t>
      </w:r>
      <w:r w:rsidR="002052B1">
        <w:t>that the levelized cost of a new combustion turbine</w:t>
      </w:r>
      <w:r w:rsidR="00C63581">
        <w:t>, or CONE,</w:t>
      </w:r>
      <w:r w:rsidR="002052B1">
        <w:t xml:space="preserve"> in </w:t>
      </w:r>
      <w:proofErr w:type="spellStart"/>
      <w:r w:rsidR="009D21C3">
        <w:t>LRZ</w:t>
      </w:r>
      <w:proofErr w:type="spellEnd"/>
      <w:r w:rsidR="009D21C3">
        <w:t xml:space="preserve"> </w:t>
      </w:r>
      <w:r w:rsidR="002052B1">
        <w:t xml:space="preserve">9 is </w:t>
      </w:r>
      <w:r w:rsidR="009C00AA">
        <w:t xml:space="preserve">approximately </w:t>
      </w:r>
      <w:r w:rsidR="002052B1">
        <w:t>$</w:t>
      </w:r>
      <w:r w:rsidR="005B30DA">
        <w:t>240</w:t>
      </w:r>
      <w:r w:rsidR="002052B1">
        <w:t>/MW-day.</w:t>
      </w:r>
    </w:p>
    <w:p w14:paraId="2C94E7DF" w14:textId="20E3E103" w:rsidR="005810BB" w:rsidRPr="00C15FCE" w:rsidRDefault="005810BB" w:rsidP="00C15FCE">
      <w:pPr>
        <w:pStyle w:val="Title"/>
        <w:rPr>
          <w:u w:val="single"/>
        </w:rPr>
      </w:pPr>
      <w:r w:rsidRPr="00C15FCE">
        <w:rPr>
          <w:u w:val="single"/>
        </w:rPr>
        <w:lastRenderedPageBreak/>
        <w:t>Figure 1</w:t>
      </w:r>
    </w:p>
    <w:p w14:paraId="32C2E01F" w14:textId="77777777" w:rsidR="000E4F38" w:rsidRDefault="006246CA" w:rsidP="000E4F38">
      <w:pPr>
        <w:keepNext/>
        <w:suppressLineNumbers/>
        <w:spacing w:after="360"/>
        <w:jc w:val="center"/>
        <w:rPr>
          <w:b/>
        </w:rPr>
      </w:pPr>
      <w:r w:rsidRPr="0080498F">
        <w:rPr>
          <w:b/>
        </w:rPr>
        <w:t xml:space="preserve">Local Resource Zones and PRA Clearing Prices for </w:t>
      </w:r>
      <w:proofErr w:type="spellStart"/>
      <w:r w:rsidRPr="0080498F">
        <w:rPr>
          <w:b/>
        </w:rPr>
        <w:t>LRZ</w:t>
      </w:r>
      <w:proofErr w:type="spellEnd"/>
      <w:r w:rsidRPr="0080498F">
        <w:rPr>
          <w:b/>
        </w:rPr>
        <w:t xml:space="preserve"> 9</w:t>
      </w:r>
    </w:p>
    <w:p w14:paraId="613BEFA1" w14:textId="21180D4C" w:rsidR="006246CA" w:rsidRPr="0080498F" w:rsidRDefault="00742272" w:rsidP="0080498F">
      <w:pPr>
        <w:suppressLineNumbers/>
        <w:spacing w:after="240"/>
        <w:jc w:val="center"/>
        <w:rPr>
          <w:b/>
        </w:rPr>
      </w:pPr>
      <w:r>
        <w:rPr>
          <w:b/>
          <w:noProof/>
        </w:rPr>
        <w:drawing>
          <wp:inline distT="0" distB="0" distL="0" distR="0" wp14:anchorId="6538C5B9" wp14:editId="602EA7C9">
            <wp:extent cx="5422392" cy="26517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22392" cy="2651760"/>
                    </a:xfrm>
                    <a:prstGeom prst="rect">
                      <a:avLst/>
                    </a:prstGeom>
                    <a:noFill/>
                  </pic:spPr>
                </pic:pic>
              </a:graphicData>
            </a:graphic>
          </wp:inline>
        </w:drawing>
      </w:r>
    </w:p>
    <w:p w14:paraId="26E72D8E" w14:textId="652C477C" w:rsidR="00164746" w:rsidRPr="000E4F38" w:rsidRDefault="00164746" w:rsidP="000E4F38">
      <w:pPr>
        <w:pStyle w:val="A"/>
        <w:suppressLineNumbers/>
      </w:pPr>
    </w:p>
    <w:p w14:paraId="3D246463" w14:textId="1D45F2BB" w:rsidR="008C7C78" w:rsidRPr="00D61962" w:rsidRDefault="00D3673A" w:rsidP="008C7C78">
      <w:pPr>
        <w:pStyle w:val="QUESTION"/>
      </w:pPr>
      <w:r>
        <w:t xml:space="preserve">DO </w:t>
      </w:r>
      <w:r w:rsidR="00986A48">
        <w:t xml:space="preserve">MISO </w:t>
      </w:r>
      <w:r>
        <w:t>PRA PRICES REFLECT THE COST OF CAPACITY</w:t>
      </w:r>
      <w:r w:rsidR="008C7C78">
        <w:t>?</w:t>
      </w:r>
    </w:p>
    <w:p w14:paraId="0B09A102" w14:textId="54C8E205" w:rsidR="009E177C" w:rsidRDefault="008C7C78" w:rsidP="00B579E1">
      <w:pPr>
        <w:pStyle w:val="A"/>
      </w:pPr>
      <w:r w:rsidRPr="00D61962">
        <w:t>A.</w:t>
      </w:r>
      <w:r w:rsidRPr="00D61962">
        <w:tab/>
      </w:r>
      <w:r>
        <w:t xml:space="preserve">No.  </w:t>
      </w:r>
      <w:r w:rsidR="00C205F4">
        <w:t xml:space="preserve">The PRA is conducted less than three months prior to the beginning of the delivery year.  At the time </w:t>
      </w:r>
      <w:r w:rsidR="00EE6741">
        <w:t>offers</w:t>
      </w:r>
      <w:r w:rsidR="00C205F4">
        <w:t xml:space="preserve"> are due, </w:t>
      </w:r>
      <w:r w:rsidR="00EE6741">
        <w:t xml:space="preserve">most </w:t>
      </w:r>
      <w:r w:rsidR="00C205F4">
        <w:t xml:space="preserve">generators have already incurred </w:t>
      </w:r>
      <w:r w:rsidR="00EE6741">
        <w:t xml:space="preserve">the </w:t>
      </w:r>
      <w:r w:rsidR="00C205F4">
        <w:t>costs</w:t>
      </w:r>
      <w:r w:rsidR="00EE6741">
        <w:t xml:space="preserve"> and/or committed to incur the costs </w:t>
      </w:r>
      <w:r w:rsidR="00C205F4">
        <w:t>necessary to operate during the delivery year</w:t>
      </w:r>
      <w:r w:rsidR="00EE6741">
        <w:t>.  These “sunk” costs include the cost of construction, maintenance, staffing</w:t>
      </w:r>
      <w:r w:rsidR="00EE4720">
        <w:t>, etc</w:t>
      </w:r>
      <w:r w:rsidR="00480F5A">
        <w:t>.  The incremental costs to provide capacity are v</w:t>
      </w:r>
      <w:r w:rsidR="00480F5A" w:rsidRPr="006A0713">
        <w:t>ery low</w:t>
      </w:r>
      <w:r w:rsidR="00004D12" w:rsidRPr="006A0713">
        <w:t xml:space="preserve"> at th</w:t>
      </w:r>
      <w:r w:rsidR="003E7F84" w:rsidRPr="006A0713">
        <w:t>is</w:t>
      </w:r>
      <w:r w:rsidR="00A8053D" w:rsidRPr="006A0713">
        <w:t xml:space="preserve"> time</w:t>
      </w:r>
      <w:r w:rsidR="00480F5A" w:rsidRPr="006A0713">
        <w:t>, and thus most generators</w:t>
      </w:r>
      <w:r w:rsidR="003E7F84" w:rsidRPr="006A0713">
        <w:t xml:space="preserve"> </w:t>
      </w:r>
      <w:r w:rsidR="00480F5A" w:rsidRPr="006A0713">
        <w:t>submit offers to provide capacity at or close to $0</w:t>
      </w:r>
      <w:r w:rsidR="00D13093">
        <w:t>, as can be seen in Figure 2</w:t>
      </w:r>
      <w:r w:rsidR="00F92D54">
        <w:t xml:space="preserve"> below</w:t>
      </w:r>
      <w:r w:rsidR="00D13093">
        <w:t xml:space="preserve">.  During the most recent auction for the 2021/2022 delivery year, </w:t>
      </w:r>
      <w:r w:rsidR="00B579E1" w:rsidRPr="006A0713">
        <w:t>9</w:t>
      </w:r>
      <w:r w:rsidR="00B257F1" w:rsidRPr="006A0713">
        <w:t>2</w:t>
      </w:r>
      <w:r w:rsidR="00B579E1" w:rsidRPr="006A0713">
        <w:t>% of capacity was offered at $0</w:t>
      </w:r>
      <w:r w:rsidR="00B257F1" w:rsidRPr="006A0713">
        <w:t>, 95% was offered below $1/MW-day,</w:t>
      </w:r>
      <w:r w:rsidR="00B579E1" w:rsidRPr="006A0713">
        <w:t xml:space="preserve"> and 9</w:t>
      </w:r>
      <w:r w:rsidR="00B257F1" w:rsidRPr="006A0713">
        <w:t>8</w:t>
      </w:r>
      <w:r w:rsidR="00B579E1" w:rsidRPr="006A0713">
        <w:t xml:space="preserve">% was offered below </w:t>
      </w:r>
      <w:r w:rsidR="00EC4E94" w:rsidRPr="006A0713">
        <w:t xml:space="preserve">10% of </w:t>
      </w:r>
      <w:r w:rsidR="00C63581">
        <w:t>CONE</w:t>
      </w:r>
      <w:r w:rsidR="003C0D4D" w:rsidRPr="006A0713">
        <w:t>.</w:t>
      </w:r>
      <w:r w:rsidR="00255CF4" w:rsidRPr="006A0713">
        <w:t xml:space="preserve">  With so many low-priced offers, which are rational given when the auction is con</w:t>
      </w:r>
      <w:r w:rsidR="00255CF4">
        <w:t>ducted relative to the delivery year, it is not surprising that</w:t>
      </w:r>
      <w:r w:rsidR="003A1F6B">
        <w:t xml:space="preserve"> PRA</w:t>
      </w:r>
      <w:r w:rsidR="00255CF4">
        <w:t xml:space="preserve"> </w:t>
      </w:r>
      <w:r w:rsidR="00834804">
        <w:t xml:space="preserve">prices </w:t>
      </w:r>
      <w:r w:rsidR="00255CF4">
        <w:t xml:space="preserve">have been </w:t>
      </w:r>
      <w:r w:rsidR="00893533">
        <w:t>so low</w:t>
      </w:r>
      <w:r w:rsidR="00BC4F18">
        <w:t>.</w:t>
      </w:r>
    </w:p>
    <w:p w14:paraId="53FB55CD" w14:textId="0B60A5EF" w:rsidR="002441B4" w:rsidRPr="00C15FCE" w:rsidRDefault="002441B4" w:rsidP="00C15FCE">
      <w:pPr>
        <w:pStyle w:val="Title"/>
        <w:rPr>
          <w:u w:val="single"/>
        </w:rPr>
      </w:pPr>
      <w:r w:rsidRPr="00C15FCE">
        <w:rPr>
          <w:u w:val="single"/>
        </w:rPr>
        <w:lastRenderedPageBreak/>
        <w:t>Figure 2</w:t>
      </w:r>
    </w:p>
    <w:p w14:paraId="6C1782F8" w14:textId="125B869B" w:rsidR="002441B4" w:rsidRPr="0080498F" w:rsidRDefault="002441B4" w:rsidP="0080498F">
      <w:pPr>
        <w:keepNext/>
        <w:suppressLineNumbers/>
        <w:spacing w:after="240"/>
        <w:jc w:val="center"/>
        <w:rPr>
          <w:b/>
        </w:rPr>
      </w:pPr>
      <w:r w:rsidRPr="0080498F">
        <w:rPr>
          <w:b/>
        </w:rPr>
        <w:t>Supply and Demand in the MISO PRA for Delivery Year 2021/2022</w:t>
      </w:r>
    </w:p>
    <w:p w14:paraId="401A96B1" w14:textId="19AA19CB" w:rsidR="00B579E1" w:rsidRDefault="006654D3" w:rsidP="0080498F">
      <w:pPr>
        <w:pStyle w:val="A"/>
        <w:suppressLineNumbers/>
      </w:pPr>
      <w:r w:rsidRPr="006654D3">
        <w:rPr>
          <w:noProof/>
        </w:rPr>
        <w:drawing>
          <wp:inline distT="0" distB="0" distL="0" distR="0" wp14:anchorId="68241E59" wp14:editId="26FEB260">
            <wp:extent cx="5715000" cy="31730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15000" cy="3173095"/>
                    </a:xfrm>
                    <a:prstGeom prst="rect">
                      <a:avLst/>
                    </a:prstGeom>
                    <a:noFill/>
                    <a:ln>
                      <a:noFill/>
                    </a:ln>
                  </pic:spPr>
                </pic:pic>
              </a:graphicData>
            </a:graphic>
          </wp:inline>
        </w:drawing>
      </w:r>
    </w:p>
    <w:p w14:paraId="55F741B4" w14:textId="706D8576" w:rsidR="003A1F6B" w:rsidRPr="00D61962" w:rsidRDefault="003A1F6B" w:rsidP="003A1F6B">
      <w:pPr>
        <w:pStyle w:val="QUESTION"/>
      </w:pPr>
      <w:r>
        <w:t xml:space="preserve">COULD </w:t>
      </w:r>
      <w:r w:rsidR="00A8053D">
        <w:t xml:space="preserve">PRA </w:t>
      </w:r>
      <w:r>
        <w:t xml:space="preserve">PRICES </w:t>
      </w:r>
      <w:r w:rsidR="006E5D33">
        <w:t>increase</w:t>
      </w:r>
      <w:r>
        <w:t>?</w:t>
      </w:r>
    </w:p>
    <w:p w14:paraId="0EE67633" w14:textId="16EF0602" w:rsidR="00912A1C" w:rsidRDefault="003A1F6B" w:rsidP="003A1F6B">
      <w:pPr>
        <w:pStyle w:val="A"/>
      </w:pPr>
      <w:r w:rsidRPr="00D61962">
        <w:t>A.</w:t>
      </w:r>
      <w:r w:rsidRPr="00D61962">
        <w:tab/>
      </w:r>
      <w:r w:rsidR="00A8053D">
        <w:t>Ye</w:t>
      </w:r>
      <w:r w:rsidR="006E5D33">
        <w:t>s.</w:t>
      </w:r>
      <w:r w:rsidR="00C20550">
        <w:t xml:space="preserve">  Both supply and demand in the PRA are inelastic, and this means that even modest changes in supply or demand could cause prices to rise abruptly.</w:t>
      </w:r>
      <w:r w:rsidR="006E5D33">
        <w:t xml:space="preserve">  The demand curve is vertical, and thus is completely inelastic.</w:t>
      </w:r>
      <w:r w:rsidR="00C20550">
        <w:t xml:space="preserve">  The</w:t>
      </w:r>
      <w:r w:rsidR="00910332">
        <w:t xml:space="preserve"> relevant portion of the</w:t>
      </w:r>
      <w:r w:rsidR="00C20550">
        <w:t xml:space="preserve"> supply curve is</w:t>
      </w:r>
      <w:r w:rsidR="0049768C">
        <w:t xml:space="preserve"> nearly vertical</w:t>
      </w:r>
      <w:r w:rsidR="00C5422E">
        <w:t xml:space="preserve"> because the auction is conducted less than three months before the delivery year</w:t>
      </w:r>
      <w:r w:rsidR="00046F19">
        <w:t>,</w:t>
      </w:r>
      <w:r w:rsidR="00C5422E">
        <w:t xml:space="preserve"> as discussed above, and thus is </w:t>
      </w:r>
      <w:r w:rsidR="00C20550">
        <w:t>extremely inelastic.  Figure 2</w:t>
      </w:r>
      <w:r w:rsidR="00FD08B7">
        <w:t xml:space="preserve"> shows that</w:t>
      </w:r>
      <w:r w:rsidR="00C20550">
        <w:t xml:space="preserve"> a net change in the supply-demand balance of </w:t>
      </w:r>
      <w:r w:rsidR="00D03225">
        <w:t xml:space="preserve">less than </w:t>
      </w:r>
      <w:r w:rsidR="008E061D">
        <w:t>5</w:t>
      </w:r>
      <w:r w:rsidR="00C20550">
        <w:t xml:space="preserve">% would leave MISO without enough capacity to meet the target </w:t>
      </w:r>
      <w:r w:rsidR="00D45651">
        <w:t xml:space="preserve">planning </w:t>
      </w:r>
      <w:r w:rsidR="00C20550">
        <w:t xml:space="preserve">reserve margin, in which case the </w:t>
      </w:r>
      <w:r w:rsidR="00C5422E">
        <w:t xml:space="preserve">market </w:t>
      </w:r>
      <w:r w:rsidR="00C20550">
        <w:t xml:space="preserve">clearing price would be set </w:t>
      </w:r>
      <w:r w:rsidR="00C5422E">
        <w:t xml:space="preserve">administratively </w:t>
      </w:r>
      <w:r w:rsidR="00C20550">
        <w:t xml:space="preserve">at </w:t>
      </w:r>
      <w:r w:rsidR="00C63581">
        <w:t xml:space="preserve">CONE, </w:t>
      </w:r>
      <w:r w:rsidR="00C20550">
        <w:t>the cap.</w:t>
      </w:r>
      <w:r w:rsidR="00D03225">
        <w:t xml:space="preserve">  </w:t>
      </w:r>
    </w:p>
    <w:p w14:paraId="38BF985B" w14:textId="1923686D" w:rsidR="00912A1C" w:rsidRDefault="00912A1C" w:rsidP="000D1873">
      <w:pPr>
        <w:pStyle w:val="A"/>
        <w:suppressLineNumbers/>
      </w:pPr>
    </w:p>
    <w:p w14:paraId="46B5A97F" w14:textId="77777777" w:rsidR="00BC4F18" w:rsidRPr="00D61962" w:rsidRDefault="00BC4F18" w:rsidP="00BC4F18">
      <w:pPr>
        <w:pStyle w:val="QUESTION"/>
      </w:pPr>
      <w:r>
        <w:lastRenderedPageBreak/>
        <w:t>is the pra designed to ensure resource adequacy?</w:t>
      </w:r>
    </w:p>
    <w:p w14:paraId="11A60872" w14:textId="4A38889C" w:rsidR="00DC1534" w:rsidRDefault="00BC4F18" w:rsidP="006C49EC">
      <w:pPr>
        <w:pStyle w:val="A"/>
      </w:pPr>
      <w:r w:rsidRPr="00D61962">
        <w:t>A.</w:t>
      </w:r>
      <w:r w:rsidRPr="00D61962">
        <w:tab/>
      </w:r>
      <w:r>
        <w:t xml:space="preserve">No.  </w:t>
      </w:r>
      <w:r w:rsidR="009549D3">
        <w:t>T</w:t>
      </w:r>
      <w:r>
        <w:t xml:space="preserve">he design of the PRA is such that prices will </w:t>
      </w:r>
      <w:r w:rsidR="001446B5">
        <w:t xml:space="preserve">nearly always be </w:t>
      </w:r>
      <w:r>
        <w:t xml:space="preserve">very low or </w:t>
      </w:r>
      <w:r w:rsidR="00C5422E">
        <w:t xml:space="preserve">set </w:t>
      </w:r>
      <w:r>
        <w:t xml:space="preserve">at the </w:t>
      </w:r>
      <w:r w:rsidR="008B6BB0">
        <w:t xml:space="preserve">CONE </w:t>
      </w:r>
      <w:r>
        <w:t xml:space="preserve">price cap.  </w:t>
      </w:r>
      <w:r w:rsidR="006A4929">
        <w:t>To an investor considering the construction of a merchant power plant, the PRA is very unattractive</w:t>
      </w:r>
      <w:r w:rsidR="009D1A45">
        <w:t xml:space="preserve">.  In some years, </w:t>
      </w:r>
      <w:r w:rsidR="006A4929">
        <w:t>the price may be</w:t>
      </w:r>
      <w:r w:rsidR="00C5422E">
        <w:t xml:space="preserve"> set at the</w:t>
      </w:r>
      <w:r w:rsidR="006A4929">
        <w:t xml:space="preserve"> levelized </w:t>
      </w:r>
      <w:r w:rsidR="001446B5">
        <w:t>cost</w:t>
      </w:r>
      <w:r w:rsidR="00C5422E">
        <w:t xml:space="preserve"> cap</w:t>
      </w:r>
      <w:r w:rsidR="006A4929">
        <w:t xml:space="preserve"> and in other years the price will be close to zero, such that the average price over time will be</w:t>
      </w:r>
      <w:r w:rsidR="00DC1534">
        <w:t xml:space="preserve"> less than the levelized cost, </w:t>
      </w:r>
      <w:r w:rsidR="00DC1534" w:rsidRPr="00DC1534">
        <w:rPr>
          <w:i/>
          <w:iCs/>
        </w:rPr>
        <w:t>i.e.</w:t>
      </w:r>
      <w:r w:rsidR="00DC1534">
        <w:t>, less th</w:t>
      </w:r>
      <w:r w:rsidR="00C5422E">
        <w:t>a</w:t>
      </w:r>
      <w:r w:rsidR="00DC1534">
        <w:t>n necessary to recover a return of an</w:t>
      </w:r>
      <w:r w:rsidR="00E9004F">
        <w:t>d</w:t>
      </w:r>
      <w:r w:rsidR="00DC1534">
        <w:t xml:space="preserve"> on the investment.  </w:t>
      </w:r>
      <w:r w:rsidR="006C49EC">
        <w:t xml:space="preserve">This phenomenon is well understood.  For example, in testimony </w:t>
      </w:r>
      <w:r w:rsidR="006871FE">
        <w:t xml:space="preserve">filed in support of </w:t>
      </w:r>
      <w:r w:rsidR="006C49EC">
        <w:t>a proposal by MISO to modify the PRA,</w:t>
      </w:r>
      <w:r w:rsidR="009549D3">
        <w:t xml:space="preserve"> </w:t>
      </w:r>
      <w:proofErr w:type="spellStart"/>
      <w:r w:rsidR="009549D3">
        <w:t>MISO’s</w:t>
      </w:r>
      <w:proofErr w:type="spellEnd"/>
      <w:r w:rsidR="009549D3">
        <w:t xml:space="preserve"> consultant,</w:t>
      </w:r>
      <w:r w:rsidR="006C49EC">
        <w:t xml:space="preserve"> the Brattle Group</w:t>
      </w:r>
      <w:r w:rsidR="009549D3">
        <w:t>,</w:t>
      </w:r>
      <w:r w:rsidR="006C49EC">
        <w:t xml:space="preserve"> offered the following conclusion:</w:t>
      </w:r>
    </w:p>
    <w:p w14:paraId="2561F00D" w14:textId="375F486B" w:rsidR="006C49EC" w:rsidRDefault="00811EAC" w:rsidP="00C15FCE">
      <w:pPr>
        <w:pStyle w:val="Quote"/>
      </w:pPr>
      <w:r>
        <w:t xml:space="preserve">We find that </w:t>
      </w:r>
      <w:proofErr w:type="spellStart"/>
      <w:r>
        <w:t>MISO’s</w:t>
      </w:r>
      <w:proofErr w:type="spellEnd"/>
      <w:r>
        <w:t xml:space="preserve"> current capacity market design is unlikely to attract and retain sufficient merchant capacity to meet </w:t>
      </w:r>
      <w:proofErr w:type="spellStart"/>
      <w:r>
        <w:t>MISO’s</w:t>
      </w:r>
      <w:proofErr w:type="spellEnd"/>
      <w:r>
        <w:t xml:space="preserve"> 1-in-10 reliability standard in the long-term.  This is because the combination of a vertical demand curve, inelastic prompt supply curve, and low price cap will produce prices that are volatile and capped at a moderate or low level.  Prices will not rise high enough on average to support new entry until the reserve margin is low enough that the market is facing frequent shortages.</w:t>
      </w:r>
      <w:r w:rsidR="006871FE">
        <w:rPr>
          <w:rStyle w:val="FootnoteReference"/>
        </w:rPr>
        <w:footnoteReference w:id="3"/>
      </w:r>
    </w:p>
    <w:p w14:paraId="5D6A07DD" w14:textId="77777777" w:rsidR="0080498F" w:rsidRPr="0080498F" w:rsidRDefault="0080498F" w:rsidP="0080498F">
      <w:pPr>
        <w:pStyle w:val="A"/>
      </w:pPr>
    </w:p>
    <w:p w14:paraId="6D529574" w14:textId="1D6F0605" w:rsidR="003E7F84" w:rsidRPr="00D61962" w:rsidRDefault="00011882" w:rsidP="003E7F84">
      <w:pPr>
        <w:pStyle w:val="QUESTION"/>
      </w:pPr>
      <w:r>
        <w:t xml:space="preserve">DO OTHER </w:t>
      </w:r>
      <w:proofErr w:type="spellStart"/>
      <w:r>
        <w:t>RTOS</w:t>
      </w:r>
      <w:proofErr w:type="spellEnd"/>
      <w:r>
        <w:t xml:space="preserve"> RELY ON CAPACITY MARKETS TO ENSURE RESOURCE ADEQUACY?</w:t>
      </w:r>
    </w:p>
    <w:p w14:paraId="1BA2F9A8" w14:textId="721FE2A6" w:rsidR="00FD0BB4" w:rsidRDefault="003E7F84" w:rsidP="003E7F84">
      <w:pPr>
        <w:pStyle w:val="A"/>
      </w:pPr>
      <w:r w:rsidRPr="00D61962">
        <w:t>A.</w:t>
      </w:r>
      <w:r w:rsidRPr="00D61962">
        <w:tab/>
      </w:r>
      <w:r>
        <w:t>Yes.</w:t>
      </w:r>
      <w:r w:rsidR="00011882">
        <w:t xml:space="preserve">  The three Eastern </w:t>
      </w:r>
      <w:proofErr w:type="spellStart"/>
      <w:r w:rsidR="00011882">
        <w:t>RTOs</w:t>
      </w:r>
      <w:proofErr w:type="spellEnd"/>
      <w:r w:rsidR="00011882">
        <w:t xml:space="preserve"> </w:t>
      </w:r>
      <w:r w:rsidR="00FD2D49">
        <w:t>(</w:t>
      </w:r>
      <w:proofErr w:type="spellStart"/>
      <w:r w:rsidR="00011882">
        <w:t>PJM</w:t>
      </w:r>
      <w:proofErr w:type="spellEnd"/>
      <w:r w:rsidR="00011882">
        <w:t xml:space="preserve">, </w:t>
      </w:r>
      <w:proofErr w:type="spellStart"/>
      <w:r w:rsidR="00011882">
        <w:t>NYISO</w:t>
      </w:r>
      <w:proofErr w:type="spellEnd"/>
      <w:r w:rsidR="00011882">
        <w:t>, and ISO-NE</w:t>
      </w:r>
      <w:r w:rsidR="00FD2D49">
        <w:t>)</w:t>
      </w:r>
      <w:r w:rsidR="00011882">
        <w:t xml:space="preserve"> are all characterized </w:t>
      </w:r>
      <w:r w:rsidR="003A6707">
        <w:t xml:space="preserve">primarily or entirely </w:t>
      </w:r>
      <w:r w:rsidR="00011882">
        <w:t>by retail access</w:t>
      </w:r>
      <w:r w:rsidR="00866FE5">
        <w:t xml:space="preserve"> and rely on their capacity markets to ensure resource adequacy</w:t>
      </w:r>
      <w:r w:rsidR="00011882">
        <w:t>.</w:t>
      </w:r>
      <w:r w:rsidR="00CF253E">
        <w:t xml:space="preserve">  Most of the utilities participating in these </w:t>
      </w:r>
      <w:proofErr w:type="spellStart"/>
      <w:r w:rsidR="00CF253E">
        <w:t>RTOs</w:t>
      </w:r>
      <w:proofErr w:type="spellEnd"/>
      <w:r w:rsidR="00CF253E">
        <w:t xml:space="preserve"> have been restructured, meaning that they have divested their generation, are no longer vertically</w:t>
      </w:r>
      <w:r w:rsidR="00CB2EAD">
        <w:t xml:space="preserve"> </w:t>
      </w:r>
      <w:r w:rsidR="00CF253E">
        <w:lastRenderedPageBreak/>
        <w:t>integrated, and no longer conduct generation planning.  Because the</w:t>
      </w:r>
      <w:r w:rsidR="007C4F28">
        <w:t>se</w:t>
      </w:r>
      <w:r w:rsidR="00CF253E">
        <w:t xml:space="preserve"> utilities no longer conduct generation planning, these </w:t>
      </w:r>
      <w:proofErr w:type="spellStart"/>
      <w:r w:rsidR="00CF253E">
        <w:t>RTOs</w:t>
      </w:r>
      <w:proofErr w:type="spellEnd"/>
      <w:r w:rsidR="00CF253E">
        <w:t xml:space="preserve"> rely</w:t>
      </w:r>
      <w:r w:rsidR="00D3464B">
        <w:t xml:space="preserve"> on</w:t>
      </w:r>
      <w:r w:rsidR="00CF253E">
        <w:t xml:space="preserve"> </w:t>
      </w:r>
      <w:r w:rsidR="00FD0BB4">
        <w:t xml:space="preserve">merchant generators to make efficient decisions – in response to wholesale price signals – to continue operating, to retire, and to build new capacity in the right location and at the right time.  To create </w:t>
      </w:r>
      <w:r w:rsidR="00C727B4">
        <w:t>the</w:t>
      </w:r>
      <w:r w:rsidR="00FD0BB4">
        <w:t xml:space="preserve"> price signals</w:t>
      </w:r>
      <w:r w:rsidR="00C727B4">
        <w:t xml:space="preserve"> necessary to promote efficient decisions</w:t>
      </w:r>
      <w:r w:rsidR="00FD0BB4">
        <w:t xml:space="preserve">, </w:t>
      </w:r>
      <w:r w:rsidR="00D3464B">
        <w:t xml:space="preserve">these </w:t>
      </w:r>
      <w:proofErr w:type="spellStart"/>
      <w:r w:rsidR="00D3464B">
        <w:t>RTOs</w:t>
      </w:r>
      <w:proofErr w:type="spellEnd"/>
      <w:r w:rsidR="00D3464B">
        <w:t xml:space="preserve"> have carefully </w:t>
      </w:r>
      <w:r w:rsidR="00DC4BB4">
        <w:t>designed</w:t>
      </w:r>
      <w:r w:rsidR="00D3464B">
        <w:t xml:space="preserve"> </w:t>
      </w:r>
      <w:r w:rsidR="00C727B4">
        <w:t xml:space="preserve">their </w:t>
      </w:r>
      <w:r w:rsidR="00D3464B">
        <w:t>capacity</w:t>
      </w:r>
      <w:r w:rsidR="00C727B4">
        <w:t xml:space="preserve"> </w:t>
      </w:r>
      <w:r w:rsidR="00D3464B">
        <w:t>market</w:t>
      </w:r>
      <w:r w:rsidR="00C727B4">
        <w:t>s to incorporate</w:t>
      </w:r>
      <w:r w:rsidR="00D3464B">
        <w:t xml:space="preserve"> features </w:t>
      </w:r>
      <w:r w:rsidR="006859B8">
        <w:t>lacking in</w:t>
      </w:r>
      <w:r w:rsidR="00D3464B">
        <w:t xml:space="preserve"> the PRA.</w:t>
      </w:r>
      <w:r w:rsidR="00C727B4">
        <w:t xml:space="preserve">  Notably, the </w:t>
      </w:r>
      <w:r w:rsidR="001446B5">
        <w:t xml:space="preserve">Eastern </w:t>
      </w:r>
      <w:proofErr w:type="spellStart"/>
      <w:r w:rsidR="001446B5">
        <w:t>RTOs</w:t>
      </w:r>
      <w:proofErr w:type="spellEnd"/>
      <w:r w:rsidR="001446B5">
        <w:t xml:space="preserve"> have capacity markets that feature</w:t>
      </w:r>
      <w:r w:rsidR="00C727B4">
        <w:t xml:space="preserve"> sloping demand curve</w:t>
      </w:r>
      <w:r w:rsidR="001446B5">
        <w:t>s</w:t>
      </w:r>
      <w:r w:rsidR="00C727B4">
        <w:t>,</w:t>
      </w:r>
      <w:r w:rsidR="001446B5">
        <w:t xml:space="preserve"> higher price caps, and </w:t>
      </w:r>
      <w:r w:rsidR="00C727B4">
        <w:t xml:space="preserve">forward procurement, as described by </w:t>
      </w:r>
      <w:proofErr w:type="spellStart"/>
      <w:r w:rsidR="00866FE5">
        <w:t>MISO’s</w:t>
      </w:r>
      <w:proofErr w:type="spellEnd"/>
      <w:r w:rsidR="00866FE5">
        <w:t xml:space="preserve"> consultant, </w:t>
      </w:r>
      <w:r w:rsidR="00C727B4">
        <w:t>the Brattle Group.</w:t>
      </w:r>
    </w:p>
    <w:p w14:paraId="7BDE4A08" w14:textId="2F27E1DA" w:rsidR="001B2BF6" w:rsidRDefault="00866FE5" w:rsidP="00C15FCE">
      <w:pPr>
        <w:pStyle w:val="Quote"/>
      </w:pPr>
      <w:r>
        <w:t xml:space="preserve">These problems have been addressed in other capacity markets that rely on merchant supply resources.  All capacity markets other than MISO have improved price stability through </w:t>
      </w:r>
      <w:r w:rsidRPr="00327140">
        <w:rPr>
          <w:i/>
          <w:iCs/>
        </w:rPr>
        <w:t>sloped demand curves</w:t>
      </w:r>
      <w:r>
        <w:t xml:space="preserve">, while also incorporating </w:t>
      </w:r>
      <w:r w:rsidRPr="00327140">
        <w:rPr>
          <w:i/>
          <w:iCs/>
        </w:rPr>
        <w:t>higher price caps</w:t>
      </w:r>
      <w:r>
        <w:t xml:space="preserve"> to support reliability… both </w:t>
      </w:r>
      <w:proofErr w:type="spellStart"/>
      <w:r>
        <w:t>PJM</w:t>
      </w:r>
      <w:proofErr w:type="spellEnd"/>
      <w:r>
        <w:t xml:space="preserve"> and ISO-NE further mitigate capacity market price volatility and provide additional forward certainty by holding </w:t>
      </w:r>
      <w:r w:rsidRPr="00327140">
        <w:rPr>
          <w:i/>
          <w:iCs/>
        </w:rPr>
        <w:t>forward capacity auctions</w:t>
      </w:r>
      <w:r>
        <w:t>.</w:t>
      </w:r>
      <w:r w:rsidR="001B2BF6">
        <w:rPr>
          <w:rStyle w:val="FootnoteReference"/>
        </w:rPr>
        <w:footnoteReference w:id="4"/>
      </w:r>
      <w:r w:rsidR="00327140">
        <w:t xml:space="preserve">  [</w:t>
      </w:r>
      <w:proofErr w:type="gramStart"/>
      <w:r w:rsidR="00327140">
        <w:t>emphasis</w:t>
      </w:r>
      <w:proofErr w:type="gramEnd"/>
      <w:r w:rsidR="00327140">
        <w:t xml:space="preserve"> added]</w:t>
      </w:r>
    </w:p>
    <w:p w14:paraId="7B9CEEDC" w14:textId="5DBC1B53" w:rsidR="00CF253E" w:rsidRDefault="00866FE5" w:rsidP="00C15FCE">
      <w:pPr>
        <w:pStyle w:val="A2"/>
      </w:pPr>
      <w:r>
        <w:t>The MISO PRA does not include any of these features</w:t>
      </w:r>
      <w:r w:rsidR="009549D3">
        <w:t>,</w:t>
      </w:r>
      <w:r w:rsidR="006E6C36">
        <w:t xml:space="preserve"> which are overwhelmingly opposed by MISO stakeholders</w:t>
      </w:r>
      <w:r w:rsidR="00390942">
        <w:t xml:space="preserve">.  MISO </w:t>
      </w:r>
      <w:r w:rsidR="006E6C36">
        <w:t xml:space="preserve">has no plans to </w:t>
      </w:r>
      <w:r w:rsidR="00390942">
        <w:t>propose them</w:t>
      </w:r>
      <w:r w:rsidR="003A6707">
        <w:t>,</w:t>
      </w:r>
      <w:r w:rsidR="006A0F9C">
        <w:t xml:space="preserve"> </w:t>
      </w:r>
      <w:r w:rsidR="00390942">
        <w:lastRenderedPageBreak/>
        <w:t xml:space="preserve">and past attempts to </w:t>
      </w:r>
      <w:r w:rsidR="006E6C36">
        <w:t>impose them have been rejected by FERC, which reasoned that MISO has a different approach to resource adequacy</w:t>
      </w:r>
      <w:proofErr w:type="gramStart"/>
      <w:r w:rsidR="006E6C36" w:rsidRPr="00A464B6">
        <w:t>.</w:t>
      </w:r>
      <w:r w:rsidR="00A464B6" w:rsidRPr="00A464B6">
        <w:rPr>
          <w:rStyle w:val="FootnoteReference"/>
        </w:rPr>
        <w:footnoteReference w:id="5"/>
      </w:r>
      <w:r w:rsidR="00A464B6" w:rsidRPr="00A464B6">
        <w:rPr>
          <w:vertAlign w:val="superscript"/>
        </w:rPr>
        <w:t>,</w:t>
      </w:r>
      <w:proofErr w:type="gramEnd"/>
      <w:r w:rsidR="00A464B6" w:rsidRPr="00A464B6">
        <w:rPr>
          <w:rStyle w:val="FootnoteReference"/>
        </w:rPr>
        <w:footnoteReference w:id="6"/>
      </w:r>
    </w:p>
    <w:p w14:paraId="79455853" w14:textId="77777777" w:rsidR="00681403" w:rsidRDefault="00681403" w:rsidP="00681403">
      <w:pPr>
        <w:pStyle w:val="A"/>
      </w:pPr>
    </w:p>
    <w:p w14:paraId="745A6DE5" w14:textId="26A36870" w:rsidR="00681403" w:rsidRPr="00D61962" w:rsidRDefault="006E6C36" w:rsidP="00681403">
      <w:pPr>
        <w:pStyle w:val="QUESTION"/>
      </w:pPr>
      <w:r>
        <w:t>WHAT IS MISO’s approach to resource adequacy?</w:t>
      </w:r>
    </w:p>
    <w:p w14:paraId="5FB17418" w14:textId="406D9B34" w:rsidR="00681403" w:rsidRDefault="00681403" w:rsidP="00B6716A">
      <w:pPr>
        <w:pStyle w:val="A"/>
        <w:rPr>
          <w:rFonts w:cs="Arial"/>
        </w:rPr>
      </w:pPr>
      <w:r w:rsidRPr="00D61962">
        <w:t>A.</w:t>
      </w:r>
      <w:r w:rsidRPr="00D61962">
        <w:tab/>
      </w:r>
      <w:r w:rsidR="00E9004F">
        <w:t>Rather than rely on the PRA</w:t>
      </w:r>
      <w:r w:rsidR="00DB1379">
        <w:t xml:space="preserve"> to ensure resource adequacy</w:t>
      </w:r>
      <w:r w:rsidR="00E9004F">
        <w:t xml:space="preserve">, </w:t>
      </w:r>
      <w:r w:rsidR="00E9004F">
        <w:rPr>
          <w:rFonts w:cs="Arial"/>
        </w:rPr>
        <w:t>MISO relies on LSEs to engage in long-term generation planning</w:t>
      </w:r>
      <w:r w:rsidR="00F61D7F">
        <w:rPr>
          <w:rFonts w:cs="Arial"/>
        </w:rPr>
        <w:t>.</w:t>
      </w:r>
      <w:r w:rsidR="00E9004F">
        <w:rPr>
          <w:rStyle w:val="FootnoteReference"/>
        </w:rPr>
        <w:footnoteReference w:id="7"/>
      </w:r>
      <w:r w:rsidR="00E9004F">
        <w:rPr>
          <w:rFonts w:cs="Arial"/>
        </w:rPr>
        <w:t xml:space="preserve">  </w:t>
      </w:r>
      <w:r w:rsidR="00E9004F">
        <w:t>According to MISO, LSEs “bear responsibility for ensuring resource adequacy.”</w:t>
      </w:r>
      <w:r w:rsidR="00E9004F">
        <w:rPr>
          <w:rStyle w:val="FootnoteReference"/>
          <w:rFonts w:cs="Arial"/>
        </w:rPr>
        <w:footnoteReference w:id="8"/>
      </w:r>
      <w:r w:rsidR="00F61D7F">
        <w:t xml:space="preserve">  This means that LSEs</w:t>
      </w:r>
      <w:r w:rsidR="003A6707">
        <w:t xml:space="preserve">, subject to the oversight of their retail regulators, such as </w:t>
      </w:r>
      <w:proofErr w:type="spellStart"/>
      <w:r w:rsidR="003A6707">
        <w:t>ETI</w:t>
      </w:r>
      <w:proofErr w:type="spellEnd"/>
      <w:r w:rsidR="003A6707">
        <w:t xml:space="preserve">, </w:t>
      </w:r>
      <w:r w:rsidR="00F61D7F">
        <w:t>are responsible for planning</w:t>
      </w:r>
      <w:r w:rsidR="00DB1379">
        <w:t xml:space="preserve"> </w:t>
      </w:r>
      <w:r w:rsidR="00F61D7F">
        <w:t xml:space="preserve">enough generation to meet their </w:t>
      </w:r>
      <w:r w:rsidR="006D2BA4">
        <w:t xml:space="preserve">expected </w:t>
      </w:r>
      <w:r w:rsidR="00F61D7F">
        <w:t xml:space="preserve">needs and for </w:t>
      </w:r>
      <w:r w:rsidR="00DB1379">
        <w:t>supporting the construction and ongoing operation of that generation by making long-term financial commitments through ownership and/or bilateral contracts</w:t>
      </w:r>
      <w:r w:rsidR="00F61D7F">
        <w:t>.</w:t>
      </w:r>
      <w:r w:rsidR="00B6716A">
        <w:t xml:space="preserve">  </w:t>
      </w:r>
      <w:r w:rsidR="00F61D7F">
        <w:t>LSEs that</w:t>
      </w:r>
      <w:r w:rsidR="00DB1379">
        <w:t xml:space="preserve"> </w:t>
      </w:r>
      <w:r w:rsidR="00D360C1">
        <w:t>do not</w:t>
      </w:r>
      <w:r w:rsidR="002538EE">
        <w:t xml:space="preserve"> plan enough generation </w:t>
      </w:r>
      <w:r w:rsidR="006D2BA4">
        <w:t>to meet their expected needs</w:t>
      </w:r>
      <w:r w:rsidR="002538EE">
        <w:t xml:space="preserve"> and </w:t>
      </w:r>
      <w:r w:rsidR="00DB1379">
        <w:t>instead</w:t>
      </w:r>
      <w:r w:rsidR="00C061A5">
        <w:t xml:space="preserve"> plan to</w:t>
      </w:r>
      <w:r w:rsidR="0070580A">
        <w:t xml:space="preserve"> </w:t>
      </w:r>
      <w:r w:rsidR="00DB1379">
        <w:t xml:space="preserve">purchase capacity from the PRA at </w:t>
      </w:r>
      <w:r w:rsidR="00DB1379">
        <w:lastRenderedPageBreak/>
        <w:t xml:space="preserve">prices that do not reflect the cost of capacity are “leaning” on others to do so for them.  The MISO Tariff does not currently </w:t>
      </w:r>
      <w:r w:rsidR="0070580A">
        <w:t>prohibit leaning, but it would be unwise to pursue that as a strategy, as discussed below.</w:t>
      </w:r>
    </w:p>
    <w:p w14:paraId="120276E9" w14:textId="023C8BE4" w:rsidR="003959B0" w:rsidRDefault="003959B0" w:rsidP="00161286">
      <w:pPr>
        <w:pStyle w:val="A"/>
      </w:pPr>
    </w:p>
    <w:p w14:paraId="6EEFEFAF" w14:textId="1BC887AB" w:rsidR="003959B0" w:rsidRPr="00D61962" w:rsidRDefault="00147DA1" w:rsidP="003959B0">
      <w:pPr>
        <w:pStyle w:val="QUESTION"/>
      </w:pPr>
      <w:r>
        <w:t>IF THE PRA IS NOT DESIGNED TO ENSURE RESOURCE ADEQUACY, WHAT IS THE PURPOSE OF THE PRA?</w:t>
      </w:r>
    </w:p>
    <w:p w14:paraId="05CB10D4" w14:textId="76C23108" w:rsidR="003959B0" w:rsidRDefault="003959B0" w:rsidP="003959B0">
      <w:pPr>
        <w:pStyle w:val="A"/>
        <w:rPr>
          <w:rFonts w:cs="Arial"/>
        </w:rPr>
      </w:pPr>
      <w:r w:rsidRPr="00D61962">
        <w:t>A.</w:t>
      </w:r>
      <w:r w:rsidRPr="00D61962">
        <w:tab/>
      </w:r>
      <w:r w:rsidR="00863FE2">
        <w:rPr>
          <w:rFonts w:cs="Arial"/>
        </w:rPr>
        <w:t>While MISO relies on LSEs to p</w:t>
      </w:r>
      <w:r w:rsidR="006D2BA4">
        <w:rPr>
          <w:rFonts w:cs="Arial"/>
        </w:rPr>
        <w:t xml:space="preserve">lan enough generation to meet their expected </w:t>
      </w:r>
      <w:r w:rsidR="00863FE2">
        <w:rPr>
          <w:rFonts w:cs="Arial"/>
        </w:rPr>
        <w:t>capacity needs, it</w:t>
      </w:r>
      <w:r w:rsidR="00C5422E">
        <w:rPr>
          <w:rFonts w:cs="Arial"/>
        </w:rPr>
        <w:t>s resource adequacy construct</w:t>
      </w:r>
      <w:r w:rsidR="00863FE2">
        <w:rPr>
          <w:rFonts w:cs="Arial"/>
        </w:rPr>
        <w:t xml:space="preserve"> recognizes that some LSEs will </w:t>
      </w:r>
      <w:r w:rsidR="00511C1A">
        <w:rPr>
          <w:rFonts w:cs="Arial"/>
        </w:rPr>
        <w:t xml:space="preserve">have a surplus and others will have a shortfall </w:t>
      </w:r>
      <w:r w:rsidR="00863FE2">
        <w:rPr>
          <w:rFonts w:cs="Arial"/>
        </w:rPr>
        <w:t>on a short-term basis.</w:t>
      </w:r>
      <w:r w:rsidR="00FA2520">
        <w:rPr>
          <w:rFonts w:cs="Arial"/>
        </w:rPr>
        <w:t xml:space="preserve">  This may be due to the lumpiness of capacity addition</w:t>
      </w:r>
      <w:r w:rsidR="00CF678F">
        <w:rPr>
          <w:rFonts w:cs="Arial"/>
        </w:rPr>
        <w:t>s</w:t>
      </w:r>
      <w:r w:rsidR="00FA2520">
        <w:rPr>
          <w:rFonts w:cs="Arial"/>
        </w:rPr>
        <w:t xml:space="preserve">, </w:t>
      </w:r>
      <w:r w:rsidR="00CF678F">
        <w:rPr>
          <w:rFonts w:cs="Arial"/>
        </w:rPr>
        <w:t xml:space="preserve">the need to accelerate </w:t>
      </w:r>
      <w:r w:rsidR="00FA2520">
        <w:rPr>
          <w:rFonts w:cs="Arial"/>
        </w:rPr>
        <w:t xml:space="preserve">a </w:t>
      </w:r>
      <w:r w:rsidR="00CF678F">
        <w:rPr>
          <w:rFonts w:cs="Arial"/>
        </w:rPr>
        <w:t>unit retirement</w:t>
      </w:r>
      <w:r w:rsidR="00FA2520">
        <w:rPr>
          <w:rFonts w:cs="Arial"/>
        </w:rPr>
        <w:t>, difference</w:t>
      </w:r>
      <w:r w:rsidR="00CF678F">
        <w:rPr>
          <w:rFonts w:cs="Arial"/>
        </w:rPr>
        <w:t>s</w:t>
      </w:r>
      <w:r w:rsidR="00FA2520">
        <w:rPr>
          <w:rFonts w:cs="Arial"/>
        </w:rPr>
        <w:t xml:space="preserve"> between actual and expected </w:t>
      </w:r>
      <w:r w:rsidR="00CA299E">
        <w:rPr>
          <w:rFonts w:cs="Arial"/>
        </w:rPr>
        <w:t>demand</w:t>
      </w:r>
      <w:r w:rsidR="00FA2520">
        <w:rPr>
          <w:rFonts w:cs="Arial"/>
        </w:rPr>
        <w:t>, etc.</w:t>
      </w:r>
      <w:r w:rsidR="00863FE2">
        <w:rPr>
          <w:rFonts w:cs="Arial"/>
        </w:rPr>
        <w:t xml:space="preserve">  The PRA allows LSEs to “balance” their capacity positions on a short-term basis; those </w:t>
      </w:r>
      <w:r w:rsidR="00511C1A">
        <w:rPr>
          <w:rFonts w:cs="Arial"/>
        </w:rPr>
        <w:t xml:space="preserve">with a surplus </w:t>
      </w:r>
      <w:r w:rsidR="00863FE2">
        <w:rPr>
          <w:rFonts w:cs="Arial"/>
        </w:rPr>
        <w:t xml:space="preserve">may sell their excess and those </w:t>
      </w:r>
      <w:r w:rsidR="00511C1A">
        <w:rPr>
          <w:rFonts w:cs="Arial"/>
        </w:rPr>
        <w:t xml:space="preserve">with a shortfall may </w:t>
      </w:r>
      <w:r w:rsidR="00C5422E">
        <w:rPr>
          <w:rFonts w:cs="Arial"/>
        </w:rPr>
        <w:t>purchase</w:t>
      </w:r>
      <w:r w:rsidR="00511C1A">
        <w:rPr>
          <w:rFonts w:cs="Arial"/>
        </w:rPr>
        <w:t xml:space="preserve"> their residual needs.</w:t>
      </w:r>
      <w:r w:rsidR="00DE34DC">
        <w:rPr>
          <w:rStyle w:val="FootnoteReference"/>
          <w:rFonts w:cs="Arial"/>
        </w:rPr>
        <w:footnoteReference w:id="9"/>
      </w:r>
      <w:r w:rsidR="00CF678F">
        <w:rPr>
          <w:rFonts w:cs="Arial"/>
        </w:rPr>
        <w:t xml:space="preserve">  Th</w:t>
      </w:r>
      <w:r w:rsidR="00390942">
        <w:rPr>
          <w:rFonts w:cs="Arial"/>
        </w:rPr>
        <w:t xml:space="preserve">is balancing function of the PRA can be helpful because it </w:t>
      </w:r>
      <w:r w:rsidR="006268BE">
        <w:rPr>
          <w:rFonts w:cs="Arial"/>
        </w:rPr>
        <w:t xml:space="preserve">allows market participants to transact </w:t>
      </w:r>
      <w:r w:rsidR="008F4AF8">
        <w:rPr>
          <w:rFonts w:cs="Arial"/>
        </w:rPr>
        <w:t xml:space="preserve">on a short-term basis </w:t>
      </w:r>
      <w:r w:rsidR="006268BE">
        <w:rPr>
          <w:rFonts w:cs="Arial"/>
        </w:rPr>
        <w:t xml:space="preserve">without the </w:t>
      </w:r>
      <w:r w:rsidR="00CF678F">
        <w:rPr>
          <w:rFonts w:cs="Arial"/>
        </w:rPr>
        <w:t>“friction” associated with bilateral contracting</w:t>
      </w:r>
      <w:r w:rsidR="006268BE">
        <w:rPr>
          <w:rFonts w:cs="Arial"/>
        </w:rPr>
        <w:t>.</w:t>
      </w:r>
    </w:p>
    <w:p w14:paraId="111D271B" w14:textId="3659C6D2" w:rsidR="00FA2520" w:rsidRDefault="00FA2520" w:rsidP="003959B0">
      <w:pPr>
        <w:pStyle w:val="A"/>
      </w:pPr>
    </w:p>
    <w:p w14:paraId="6D9C6251" w14:textId="34F44873" w:rsidR="00FA2520" w:rsidRPr="00D61962" w:rsidRDefault="00CF678F" w:rsidP="00FA2520">
      <w:pPr>
        <w:pStyle w:val="QUESTION"/>
      </w:pPr>
      <w:r>
        <w:t>HOW DOES</w:t>
      </w:r>
      <w:r w:rsidR="00E2384F">
        <w:t xml:space="preserve"> </w:t>
      </w:r>
      <w:r>
        <w:t>MISO</w:t>
      </w:r>
      <w:r w:rsidR="00E2384F">
        <w:t>’s</w:t>
      </w:r>
      <w:r>
        <w:t xml:space="preserve"> RESOURCE ADEQUACY CONSTRUCT COMPARE TO </w:t>
      </w:r>
      <w:proofErr w:type="spellStart"/>
      <w:r>
        <w:t>SPP’S</w:t>
      </w:r>
      <w:proofErr w:type="spellEnd"/>
      <w:r>
        <w:t>?</w:t>
      </w:r>
    </w:p>
    <w:p w14:paraId="2D2D42D4" w14:textId="1D35A28F" w:rsidR="00FA2520" w:rsidRDefault="00FA2520" w:rsidP="00FA2520">
      <w:pPr>
        <w:pStyle w:val="A"/>
        <w:rPr>
          <w:rFonts w:cs="Arial"/>
        </w:rPr>
      </w:pPr>
      <w:r w:rsidRPr="00D61962">
        <w:t>A.</w:t>
      </w:r>
      <w:r w:rsidRPr="00D61962">
        <w:tab/>
      </w:r>
      <w:r w:rsidR="00CF678F">
        <w:rPr>
          <w:rFonts w:cs="Arial"/>
        </w:rPr>
        <w:t xml:space="preserve">They are similar.  Like MISO, </w:t>
      </w:r>
      <w:proofErr w:type="spellStart"/>
      <w:r w:rsidR="00CF678F">
        <w:rPr>
          <w:rFonts w:cs="Arial"/>
        </w:rPr>
        <w:t>SPP</w:t>
      </w:r>
      <w:proofErr w:type="spellEnd"/>
      <w:r w:rsidR="00CF678F">
        <w:rPr>
          <w:rFonts w:cs="Arial"/>
        </w:rPr>
        <w:t xml:space="preserve"> relies on each LSE to support enough capacity</w:t>
      </w:r>
      <w:r w:rsidR="002E12BB">
        <w:rPr>
          <w:rFonts w:cs="Arial"/>
        </w:rPr>
        <w:t xml:space="preserve"> to meet </w:t>
      </w:r>
      <w:r w:rsidR="006B599B">
        <w:rPr>
          <w:rFonts w:cs="Arial"/>
        </w:rPr>
        <w:t>its</w:t>
      </w:r>
      <w:r w:rsidR="002E12BB">
        <w:rPr>
          <w:rFonts w:cs="Arial"/>
        </w:rPr>
        <w:t xml:space="preserve"> needs</w:t>
      </w:r>
      <w:r w:rsidR="00CF678F">
        <w:rPr>
          <w:rFonts w:cs="Arial"/>
        </w:rPr>
        <w:t xml:space="preserve"> through ownership or bilateral contracts.</w:t>
      </w:r>
      <w:r w:rsidR="00B6716A">
        <w:rPr>
          <w:rFonts w:cs="Arial"/>
        </w:rPr>
        <w:t xml:space="preserve">  Unlike MISO, </w:t>
      </w:r>
      <w:proofErr w:type="spellStart"/>
      <w:r w:rsidR="00B6716A">
        <w:rPr>
          <w:rFonts w:cs="Arial"/>
        </w:rPr>
        <w:t>SPP</w:t>
      </w:r>
      <w:proofErr w:type="spellEnd"/>
      <w:r w:rsidR="00B6716A">
        <w:rPr>
          <w:rFonts w:cs="Arial"/>
        </w:rPr>
        <w:t xml:space="preserve"> does not </w:t>
      </w:r>
      <w:r w:rsidR="00B6716A">
        <w:rPr>
          <w:rFonts w:cs="Arial"/>
        </w:rPr>
        <w:lastRenderedPageBreak/>
        <w:t>operate a capacity auction; it</w:t>
      </w:r>
      <w:r w:rsidR="00C061A5">
        <w:rPr>
          <w:rFonts w:cs="Arial"/>
        </w:rPr>
        <w:t>s tariff</w:t>
      </w:r>
      <w:r w:rsidR="00B6716A">
        <w:rPr>
          <w:rFonts w:cs="Arial"/>
        </w:rPr>
        <w:t xml:space="preserve"> requires each LSE to provide </w:t>
      </w:r>
      <w:r w:rsidR="002E12BB">
        <w:rPr>
          <w:rFonts w:cs="Arial"/>
        </w:rPr>
        <w:t>enough capacity through ownership or bilateral contracts to me</w:t>
      </w:r>
      <w:r w:rsidR="002E12BB" w:rsidRPr="00F80A93">
        <w:rPr>
          <w:rFonts w:cs="Arial"/>
        </w:rPr>
        <w:t xml:space="preserve">et </w:t>
      </w:r>
      <w:r w:rsidR="00B6716A" w:rsidRPr="00F80A93">
        <w:rPr>
          <w:rFonts w:cs="Arial"/>
        </w:rPr>
        <w:t xml:space="preserve">100% of its peak load plus </w:t>
      </w:r>
      <w:r w:rsidR="002E12BB" w:rsidRPr="00F80A93">
        <w:rPr>
          <w:rFonts w:cs="Arial"/>
        </w:rPr>
        <w:t xml:space="preserve">the </w:t>
      </w:r>
      <w:proofErr w:type="spellStart"/>
      <w:r w:rsidR="002E12BB" w:rsidRPr="00F80A93">
        <w:rPr>
          <w:rFonts w:cs="Arial"/>
        </w:rPr>
        <w:t>SPP</w:t>
      </w:r>
      <w:proofErr w:type="spellEnd"/>
      <w:r w:rsidR="002E12BB" w:rsidRPr="00F80A93">
        <w:rPr>
          <w:rFonts w:cs="Arial"/>
        </w:rPr>
        <w:t xml:space="preserve"> </w:t>
      </w:r>
      <w:r w:rsidR="00D45651">
        <w:t xml:space="preserve">planning </w:t>
      </w:r>
      <w:r w:rsidR="002E12BB" w:rsidRPr="00F80A93">
        <w:rPr>
          <w:rFonts w:cs="Arial"/>
        </w:rPr>
        <w:t>reserve margin</w:t>
      </w:r>
      <w:r w:rsidR="00B6716A" w:rsidRPr="00F80A93">
        <w:rPr>
          <w:rFonts w:cs="Arial"/>
        </w:rPr>
        <w:t>, and it has stiff penalties for LSEs that fail to make a sufficient showing.</w:t>
      </w:r>
      <w:r w:rsidR="00A464B6" w:rsidRPr="00F80A93">
        <w:rPr>
          <w:rStyle w:val="FootnoteReference"/>
          <w:rFonts w:cs="Arial"/>
        </w:rPr>
        <w:footnoteReference w:id="10"/>
      </w:r>
      <w:r w:rsidR="00C5422E" w:rsidRPr="00F80A93">
        <w:rPr>
          <w:rFonts w:cs="Arial"/>
        </w:rPr>
        <w:t xml:space="preserve">  In the most recent showing for the summer of 202</w:t>
      </w:r>
      <w:r w:rsidR="00E57D4E">
        <w:rPr>
          <w:rFonts w:cs="Arial"/>
        </w:rPr>
        <w:t>1</w:t>
      </w:r>
      <w:r w:rsidR="00C5422E" w:rsidRPr="00F80A93">
        <w:rPr>
          <w:rFonts w:cs="Arial"/>
        </w:rPr>
        <w:t xml:space="preserve">, all </w:t>
      </w:r>
      <w:r w:rsidR="00E57D4E" w:rsidRPr="00F80A93">
        <w:rPr>
          <w:rFonts w:cs="Arial"/>
        </w:rPr>
        <w:t>5</w:t>
      </w:r>
      <w:r w:rsidR="00E57D4E">
        <w:rPr>
          <w:rFonts w:cs="Arial"/>
        </w:rPr>
        <w:t>8</w:t>
      </w:r>
      <w:r w:rsidR="00E57D4E" w:rsidRPr="00F80A93">
        <w:rPr>
          <w:rFonts w:cs="Arial"/>
        </w:rPr>
        <w:t xml:space="preserve"> </w:t>
      </w:r>
      <w:r w:rsidR="00C5422E" w:rsidRPr="00F80A93">
        <w:rPr>
          <w:rFonts w:cs="Arial"/>
        </w:rPr>
        <w:t xml:space="preserve">LSEs in </w:t>
      </w:r>
      <w:proofErr w:type="spellStart"/>
      <w:r w:rsidR="00C5422E" w:rsidRPr="00F80A93">
        <w:rPr>
          <w:rFonts w:cs="Arial"/>
        </w:rPr>
        <w:t>SPP</w:t>
      </w:r>
      <w:proofErr w:type="spellEnd"/>
      <w:r w:rsidR="00C5422E" w:rsidRPr="00F80A93">
        <w:rPr>
          <w:rFonts w:cs="Arial"/>
        </w:rPr>
        <w:t xml:space="preserve"> made a sufficient showing.</w:t>
      </w:r>
      <w:r w:rsidR="00A464B6" w:rsidRPr="00F80A93">
        <w:rPr>
          <w:rStyle w:val="FootnoteReference"/>
          <w:rFonts w:cs="Arial"/>
        </w:rPr>
        <w:footnoteReference w:id="11"/>
      </w:r>
    </w:p>
    <w:p w14:paraId="1B8078BF" w14:textId="77777777" w:rsidR="006D2BA4" w:rsidRDefault="006D2BA4" w:rsidP="006D2BA4">
      <w:pPr>
        <w:pStyle w:val="A"/>
      </w:pPr>
    </w:p>
    <w:p w14:paraId="2AA4F714" w14:textId="0BAA78A6" w:rsidR="006D2BA4" w:rsidRPr="00D61962" w:rsidRDefault="006D2BA4" w:rsidP="006D2BA4">
      <w:pPr>
        <w:pStyle w:val="QUESTION"/>
      </w:pPr>
      <w:r>
        <w:t xml:space="preserve">HOW DOES MISO’s RESOURCE ADEQUACY CONSTRUCT COMPARE TO </w:t>
      </w:r>
      <w:proofErr w:type="spellStart"/>
      <w:r>
        <w:t>ERCOT’S</w:t>
      </w:r>
      <w:proofErr w:type="spellEnd"/>
      <w:r>
        <w:t>?</w:t>
      </w:r>
    </w:p>
    <w:p w14:paraId="10654CBE" w14:textId="47E7FC6C" w:rsidR="005041DA" w:rsidRDefault="006D2BA4" w:rsidP="006D2BA4">
      <w:pPr>
        <w:pStyle w:val="A"/>
        <w:rPr>
          <w:rFonts w:cs="Arial"/>
        </w:rPr>
      </w:pPr>
      <w:r w:rsidRPr="00D61962">
        <w:t>A.</w:t>
      </w:r>
      <w:r w:rsidRPr="00D61962">
        <w:tab/>
      </w:r>
      <w:r>
        <w:rPr>
          <w:rFonts w:cs="Arial"/>
        </w:rPr>
        <w:t>They are different.</w:t>
      </w:r>
      <w:r w:rsidR="009A6C47">
        <w:rPr>
          <w:rFonts w:cs="Arial"/>
        </w:rPr>
        <w:t xml:space="preserve">  Unlike MISO, </w:t>
      </w:r>
      <w:proofErr w:type="spellStart"/>
      <w:r w:rsidR="009A6C47">
        <w:rPr>
          <w:rFonts w:cs="Arial"/>
        </w:rPr>
        <w:t>ERCOT</w:t>
      </w:r>
      <w:proofErr w:type="spellEnd"/>
      <w:r w:rsidR="009A6C47">
        <w:rPr>
          <w:rFonts w:cs="Arial"/>
        </w:rPr>
        <w:t xml:space="preserve"> is characterized </w:t>
      </w:r>
      <w:r w:rsidR="001B17E1">
        <w:rPr>
          <w:rFonts w:cs="Arial"/>
        </w:rPr>
        <w:t xml:space="preserve">mostly </w:t>
      </w:r>
      <w:r w:rsidR="009A6C47">
        <w:rPr>
          <w:rFonts w:cs="Arial"/>
        </w:rPr>
        <w:t xml:space="preserve">by retail access.  The investor-owned utilities in </w:t>
      </w:r>
      <w:proofErr w:type="spellStart"/>
      <w:r w:rsidR="009A6C47">
        <w:rPr>
          <w:rFonts w:cs="Arial"/>
        </w:rPr>
        <w:t>ERCOT</w:t>
      </w:r>
      <w:proofErr w:type="spellEnd"/>
      <w:r w:rsidR="009A6C47">
        <w:rPr>
          <w:rFonts w:cs="Arial"/>
        </w:rPr>
        <w:t xml:space="preserve"> have been restructured and no longer conduct generation planning.  </w:t>
      </w:r>
      <w:proofErr w:type="spellStart"/>
      <w:r w:rsidR="009A6C47">
        <w:rPr>
          <w:rFonts w:cs="Arial"/>
        </w:rPr>
        <w:t>ERCOT</w:t>
      </w:r>
      <w:proofErr w:type="spellEnd"/>
      <w:r w:rsidR="009A6C47">
        <w:rPr>
          <w:rFonts w:cs="Arial"/>
        </w:rPr>
        <w:t xml:space="preserve"> is more like the Eastern </w:t>
      </w:r>
      <w:proofErr w:type="spellStart"/>
      <w:r w:rsidR="009A6C47">
        <w:rPr>
          <w:rFonts w:cs="Arial"/>
        </w:rPr>
        <w:t>RTOs</w:t>
      </w:r>
      <w:proofErr w:type="spellEnd"/>
      <w:r w:rsidR="009A6C47">
        <w:rPr>
          <w:rFonts w:cs="Arial"/>
        </w:rPr>
        <w:t xml:space="preserve"> in that it relies on merchant generators acting in response to wholesale price signals to maintain resource adequacy.  But rather than use a carefully-designed capacity market</w:t>
      </w:r>
      <w:r w:rsidR="007E44BD">
        <w:rPr>
          <w:rFonts w:cs="Arial"/>
        </w:rPr>
        <w:t xml:space="preserve"> to create the wholesale price signals necessary to maintain resource adequacy</w:t>
      </w:r>
      <w:r w:rsidR="009A6C47">
        <w:rPr>
          <w:rFonts w:cs="Arial"/>
        </w:rPr>
        <w:t xml:space="preserve">, </w:t>
      </w:r>
      <w:proofErr w:type="spellStart"/>
      <w:r w:rsidR="009A6C47">
        <w:rPr>
          <w:rFonts w:cs="Arial"/>
        </w:rPr>
        <w:t>ERCOT</w:t>
      </w:r>
      <w:proofErr w:type="spellEnd"/>
      <w:r w:rsidR="009A6C47">
        <w:rPr>
          <w:rFonts w:cs="Arial"/>
        </w:rPr>
        <w:t xml:space="preserve"> uses a carefully</w:t>
      </w:r>
      <w:r w:rsidR="00BF620E">
        <w:rPr>
          <w:rFonts w:cs="Arial"/>
        </w:rPr>
        <w:t xml:space="preserve"> </w:t>
      </w:r>
      <w:r w:rsidR="009A6C47">
        <w:rPr>
          <w:rFonts w:cs="Arial"/>
        </w:rPr>
        <w:t xml:space="preserve">designed </w:t>
      </w:r>
      <w:r w:rsidR="00C061A5">
        <w:rPr>
          <w:rFonts w:cs="Arial"/>
        </w:rPr>
        <w:t xml:space="preserve">mechanism to create scarcity prices in the </w:t>
      </w:r>
      <w:r w:rsidR="00810583">
        <w:rPr>
          <w:rFonts w:cs="Arial"/>
        </w:rPr>
        <w:t xml:space="preserve">markets for </w:t>
      </w:r>
      <w:r w:rsidR="00C061A5">
        <w:rPr>
          <w:rFonts w:cs="Arial"/>
        </w:rPr>
        <w:t xml:space="preserve">energy and ancillary </w:t>
      </w:r>
      <w:r w:rsidR="00810583">
        <w:rPr>
          <w:rFonts w:cs="Arial"/>
        </w:rPr>
        <w:t>services</w:t>
      </w:r>
      <w:r w:rsidR="009A6C47">
        <w:rPr>
          <w:rFonts w:cs="Arial"/>
        </w:rPr>
        <w:t xml:space="preserve"> – </w:t>
      </w:r>
      <w:r w:rsidR="00810583" w:rsidRPr="00810583">
        <w:rPr>
          <w:rFonts w:cs="Arial"/>
          <w:i/>
          <w:iCs/>
        </w:rPr>
        <w:t>i.e.</w:t>
      </w:r>
      <w:r w:rsidR="00810583">
        <w:rPr>
          <w:rFonts w:cs="Arial"/>
        </w:rPr>
        <w:t xml:space="preserve">, </w:t>
      </w:r>
      <w:r w:rsidR="009A6C47">
        <w:rPr>
          <w:rFonts w:cs="Arial"/>
        </w:rPr>
        <w:t>the operating reserve demand curve</w:t>
      </w:r>
      <w:r w:rsidR="007E44BD">
        <w:rPr>
          <w:rFonts w:cs="Arial"/>
        </w:rPr>
        <w:t xml:space="preserve">.  </w:t>
      </w:r>
    </w:p>
    <w:p w14:paraId="2B56CF2E" w14:textId="29CB8F9B" w:rsidR="006D2BA4" w:rsidRDefault="007E44BD" w:rsidP="006A626A">
      <w:pPr>
        <w:pStyle w:val="A2"/>
      </w:pPr>
      <w:r>
        <w:t>Figure 3 summarizes the composition of these markets and their approach to maintaining resource adequacy.</w:t>
      </w:r>
      <w:r w:rsidR="00D43200">
        <w:t xml:space="preserve">  As shown in Figure 3, </w:t>
      </w:r>
      <w:r w:rsidR="00494449">
        <w:t xml:space="preserve">the </w:t>
      </w:r>
      <w:proofErr w:type="spellStart"/>
      <w:r w:rsidR="00D43200">
        <w:t>RTOs</w:t>
      </w:r>
      <w:proofErr w:type="spellEnd"/>
      <w:r w:rsidR="00D43200">
        <w:t xml:space="preserve"> w</w:t>
      </w:r>
      <w:r w:rsidR="00494449">
        <w:t xml:space="preserve">here the majority of load is served by competitive suppliers </w:t>
      </w:r>
      <w:r w:rsidR="00D43200">
        <w:t>(</w:t>
      </w:r>
      <w:r w:rsidR="00D43200" w:rsidRPr="00494449">
        <w:rPr>
          <w:i/>
          <w:iCs/>
        </w:rPr>
        <w:t>i.e.</w:t>
      </w:r>
      <w:r w:rsidR="00D43200">
        <w:t xml:space="preserve">, the Eastern </w:t>
      </w:r>
      <w:proofErr w:type="spellStart"/>
      <w:r w:rsidR="00D43200">
        <w:t>RTOs</w:t>
      </w:r>
      <w:proofErr w:type="spellEnd"/>
      <w:r w:rsidR="00D43200">
        <w:t xml:space="preserve"> and </w:t>
      </w:r>
      <w:proofErr w:type="spellStart"/>
      <w:r w:rsidR="00D43200">
        <w:t>ERCOT</w:t>
      </w:r>
      <w:proofErr w:type="spellEnd"/>
      <w:r w:rsidR="00D43200">
        <w:t xml:space="preserve">) rely on price signals to ensure resource adequacy, while </w:t>
      </w:r>
      <w:r w:rsidR="00494449">
        <w:t xml:space="preserve">the </w:t>
      </w:r>
      <w:proofErr w:type="spellStart"/>
      <w:r w:rsidR="00D43200">
        <w:t>RTOs</w:t>
      </w:r>
      <w:proofErr w:type="spellEnd"/>
      <w:r w:rsidR="00494449">
        <w:t xml:space="preserve"> where the majority of load </w:t>
      </w:r>
      <w:r w:rsidR="00494449">
        <w:lastRenderedPageBreak/>
        <w:t>is served by vertically</w:t>
      </w:r>
      <w:r w:rsidR="00D1229C">
        <w:t xml:space="preserve"> </w:t>
      </w:r>
      <w:r w:rsidR="00494449">
        <w:t xml:space="preserve">integrated utilities, municipals, and cooperatives </w:t>
      </w:r>
      <w:r w:rsidR="00D43200">
        <w:t>(</w:t>
      </w:r>
      <w:r w:rsidR="00D43200" w:rsidRPr="00494449">
        <w:rPr>
          <w:i/>
          <w:iCs/>
        </w:rPr>
        <w:t>i.e.</w:t>
      </w:r>
      <w:r w:rsidR="00D43200">
        <w:t xml:space="preserve">, </w:t>
      </w:r>
      <w:proofErr w:type="spellStart"/>
      <w:r w:rsidR="00D43200">
        <w:t>SPP</w:t>
      </w:r>
      <w:proofErr w:type="spellEnd"/>
      <w:r w:rsidR="00D43200">
        <w:t xml:space="preserve"> and MISO) rely on LSEs</w:t>
      </w:r>
      <w:r w:rsidR="003A6707">
        <w:t xml:space="preserve"> (and, in the case of regulated LSEs, the oversight of their </w:t>
      </w:r>
      <w:r w:rsidR="00623A13">
        <w:t xml:space="preserve">retail </w:t>
      </w:r>
      <w:r w:rsidR="003A6707">
        <w:t>regulators)</w:t>
      </w:r>
      <w:r w:rsidR="00D43200">
        <w:t xml:space="preserve"> to </w:t>
      </w:r>
      <w:r w:rsidR="00494449">
        <w:t>ensure resource adequacy by engaging in long-term planning.</w:t>
      </w:r>
    </w:p>
    <w:p w14:paraId="41362BBB" w14:textId="58BCA264" w:rsidR="007E44BD" w:rsidRDefault="007E44BD" w:rsidP="006D2BA4">
      <w:pPr>
        <w:pStyle w:val="A"/>
        <w:rPr>
          <w:rFonts w:cs="Arial"/>
        </w:rPr>
      </w:pPr>
    </w:p>
    <w:p w14:paraId="0828D94D" w14:textId="6F38235C" w:rsidR="007E44BD" w:rsidRPr="00C15FCE" w:rsidRDefault="007E44BD" w:rsidP="00617F32">
      <w:pPr>
        <w:pStyle w:val="Title"/>
        <w:rPr>
          <w:u w:val="single"/>
        </w:rPr>
      </w:pPr>
      <w:r w:rsidRPr="00C15FCE">
        <w:rPr>
          <w:u w:val="single"/>
        </w:rPr>
        <w:t>Figure 3</w:t>
      </w:r>
    </w:p>
    <w:p w14:paraId="2225252F" w14:textId="3E5A4278" w:rsidR="007E44BD" w:rsidRPr="0080498F" w:rsidRDefault="007E44BD" w:rsidP="00617F32">
      <w:pPr>
        <w:keepNext/>
        <w:keepLines/>
        <w:suppressLineNumbers/>
        <w:spacing w:after="240"/>
        <w:jc w:val="center"/>
        <w:rPr>
          <w:b/>
        </w:rPr>
      </w:pPr>
      <w:r w:rsidRPr="0080498F">
        <w:rPr>
          <w:b/>
        </w:rPr>
        <w:t>Market Composition and Approach to Resource Adequacy</w:t>
      </w:r>
    </w:p>
    <w:p w14:paraId="60773D68" w14:textId="4338A15F" w:rsidR="006D2BA4" w:rsidRDefault="004C20E0" w:rsidP="00617F32">
      <w:pPr>
        <w:pStyle w:val="A"/>
        <w:keepNext/>
        <w:keepLines/>
        <w:suppressLineNumbers/>
        <w:jc w:val="center"/>
      </w:pPr>
      <w:r w:rsidRPr="004C20E0">
        <w:rPr>
          <w:noProof/>
        </w:rPr>
        <w:drawing>
          <wp:inline distT="0" distB="0" distL="0" distR="0" wp14:anchorId="776C78EA" wp14:editId="6CEABD61">
            <wp:extent cx="5715000" cy="18865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15000" cy="1886585"/>
                    </a:xfrm>
                    <a:prstGeom prst="rect">
                      <a:avLst/>
                    </a:prstGeom>
                    <a:noFill/>
                    <a:ln>
                      <a:noFill/>
                    </a:ln>
                  </pic:spPr>
                </pic:pic>
              </a:graphicData>
            </a:graphic>
          </wp:inline>
        </w:drawing>
      </w:r>
    </w:p>
    <w:p w14:paraId="1F67DE15" w14:textId="77777777" w:rsidR="00262452" w:rsidRDefault="00262452" w:rsidP="000E4F38">
      <w:pPr>
        <w:pStyle w:val="A"/>
        <w:suppressLineNumbers/>
      </w:pPr>
    </w:p>
    <w:p w14:paraId="70D9EC6F" w14:textId="13C86245" w:rsidR="001C7CCC" w:rsidRPr="00D61962" w:rsidRDefault="001C7CCC" w:rsidP="001C7CCC">
      <w:pPr>
        <w:pStyle w:val="QUESTION"/>
      </w:pPr>
      <w:r>
        <w:t>HAS MISO PROPOSED ANY CHANGES TO ITS RESOURCE ADEQUACY CONSTRUCT?</w:t>
      </w:r>
    </w:p>
    <w:p w14:paraId="2A507CEE" w14:textId="0BC460D9" w:rsidR="000A57F1" w:rsidRDefault="001C7CCC" w:rsidP="001C7CCC">
      <w:pPr>
        <w:pStyle w:val="A"/>
        <w:rPr>
          <w:rFonts w:cs="Arial"/>
        </w:rPr>
      </w:pPr>
      <w:r w:rsidRPr="00D61962">
        <w:t>A.</w:t>
      </w:r>
      <w:r w:rsidRPr="00D61962">
        <w:tab/>
      </w:r>
      <w:r>
        <w:rPr>
          <w:rFonts w:cs="Arial"/>
        </w:rPr>
        <w:t>MISO has proposed two notable changes.  First, MISO has proposed to change from an annual to a seasonal construct.  This entails the creation</w:t>
      </w:r>
      <w:r w:rsidR="00847DED">
        <w:rPr>
          <w:rFonts w:cs="Arial"/>
        </w:rPr>
        <w:t xml:space="preserve"> of a separate </w:t>
      </w:r>
      <w:r w:rsidR="00D45651">
        <w:t xml:space="preserve">planning </w:t>
      </w:r>
      <w:r w:rsidR="00847DED">
        <w:rPr>
          <w:rFonts w:cs="Arial"/>
        </w:rPr>
        <w:t xml:space="preserve">reserve margin and capacity requirement for each of </w:t>
      </w:r>
      <w:r w:rsidR="00BF620E">
        <w:rPr>
          <w:rFonts w:cs="Arial"/>
        </w:rPr>
        <w:t xml:space="preserve">the </w:t>
      </w:r>
      <w:r w:rsidR="00847DED">
        <w:rPr>
          <w:rFonts w:cs="Arial"/>
        </w:rPr>
        <w:t xml:space="preserve">four seasons, generator ratings for each season that reflect </w:t>
      </w:r>
      <w:r w:rsidR="000A57F1">
        <w:rPr>
          <w:rFonts w:cs="Arial"/>
        </w:rPr>
        <w:t>seasonal</w:t>
      </w:r>
      <w:r w:rsidR="00847DED">
        <w:rPr>
          <w:rFonts w:cs="Arial"/>
        </w:rPr>
        <w:t xml:space="preserve"> availability, and a capacity auction</w:t>
      </w:r>
      <w:r w:rsidR="000A57F1">
        <w:rPr>
          <w:rFonts w:cs="Arial"/>
        </w:rPr>
        <w:t xml:space="preserve"> for each season to </w:t>
      </w:r>
      <w:r w:rsidR="008D1D73">
        <w:rPr>
          <w:rFonts w:cs="Arial"/>
        </w:rPr>
        <w:t>clear</w:t>
      </w:r>
      <w:r w:rsidR="000A57F1">
        <w:rPr>
          <w:rFonts w:cs="Arial"/>
        </w:rPr>
        <w:t xml:space="preserve"> supply and demand.  While the seasonal proposal will change the PRA, it will</w:t>
      </w:r>
      <w:r w:rsidR="00601C5C">
        <w:rPr>
          <w:rFonts w:cs="Arial"/>
        </w:rPr>
        <w:t xml:space="preserve"> not</w:t>
      </w:r>
      <w:r w:rsidR="00DE5243">
        <w:rPr>
          <w:rFonts w:cs="Arial"/>
        </w:rPr>
        <w:t xml:space="preserve"> introduce the eastern-style capacity market features – sloping demand curve, higher price caps, and forward procurement – that would be necessary to ensure resource adequacy</w:t>
      </w:r>
      <w:r w:rsidR="003A6707">
        <w:rPr>
          <w:rFonts w:cs="Arial"/>
        </w:rPr>
        <w:t xml:space="preserve"> in the absence of vertical integration</w:t>
      </w:r>
      <w:r w:rsidR="00680146">
        <w:rPr>
          <w:rFonts w:cs="Arial"/>
        </w:rPr>
        <w:t>,</w:t>
      </w:r>
      <w:r w:rsidR="003A6707">
        <w:rPr>
          <w:rFonts w:cs="Arial"/>
        </w:rPr>
        <w:t xml:space="preserve"> as I discussed above</w:t>
      </w:r>
      <w:r w:rsidR="000B54CD">
        <w:rPr>
          <w:rFonts w:cs="Arial"/>
        </w:rPr>
        <w:t xml:space="preserve">.  Therefore, it </w:t>
      </w:r>
      <w:r w:rsidR="00DE5243">
        <w:rPr>
          <w:rFonts w:cs="Arial"/>
        </w:rPr>
        <w:t xml:space="preserve">will </w:t>
      </w:r>
      <w:r w:rsidR="00DE5243">
        <w:rPr>
          <w:rFonts w:cs="Arial"/>
        </w:rPr>
        <w:lastRenderedPageBreak/>
        <w:t xml:space="preserve">not affect </w:t>
      </w:r>
      <w:proofErr w:type="spellStart"/>
      <w:r w:rsidR="000A57F1">
        <w:rPr>
          <w:rFonts w:cs="Arial"/>
        </w:rPr>
        <w:t>MISO’s</w:t>
      </w:r>
      <w:proofErr w:type="spellEnd"/>
      <w:r w:rsidR="000A57F1">
        <w:rPr>
          <w:rFonts w:cs="Arial"/>
        </w:rPr>
        <w:t xml:space="preserve"> fundamental reliance on LSEs to</w:t>
      </w:r>
      <w:r w:rsidR="007E44BD">
        <w:rPr>
          <w:rFonts w:cs="Arial"/>
        </w:rPr>
        <w:t xml:space="preserve"> plan enough generation to meet their expected needs.</w:t>
      </w:r>
    </w:p>
    <w:p w14:paraId="1E30E2AF" w14:textId="7106FA89" w:rsidR="001C7CCC" w:rsidRDefault="000A57F1" w:rsidP="00C15FCE">
      <w:pPr>
        <w:pStyle w:val="A2"/>
      </w:pPr>
      <w:r>
        <w:t xml:space="preserve">Second, </w:t>
      </w:r>
      <w:r w:rsidR="003A6707">
        <w:t>consistent with the “fundamental assumption” underlying the MISO resource adequacy construct that LSEs are engaging in reasonable long-term resource planning,</w:t>
      </w:r>
      <w:r w:rsidR="003A6707">
        <w:rPr>
          <w:rStyle w:val="FootnoteReference"/>
        </w:rPr>
        <w:footnoteReference w:id="12"/>
      </w:r>
      <w:r w:rsidR="003A6707">
        <w:t xml:space="preserve"> </w:t>
      </w:r>
      <w:r w:rsidR="002145E1">
        <w:t>MISO has proposed to require</w:t>
      </w:r>
      <w:r w:rsidR="0011785C">
        <w:t xml:space="preserve"> each</w:t>
      </w:r>
      <w:r w:rsidR="002145E1">
        <w:t xml:space="preserve"> LSE to</w:t>
      </w:r>
      <w:r w:rsidR="003C3575">
        <w:t xml:space="preserve"> demonstrate prior to the PRA that it has</w:t>
      </w:r>
      <w:r w:rsidR="002145E1">
        <w:t xml:space="preserve"> self-suppl</w:t>
      </w:r>
      <w:r w:rsidR="003C3575">
        <w:t>ied</w:t>
      </w:r>
      <w:r w:rsidR="0039522E">
        <w:t xml:space="preserve"> through ownership or bilateral contract</w:t>
      </w:r>
      <w:r w:rsidR="002145E1">
        <w:t xml:space="preserve"> at least 50% of its capacity </w:t>
      </w:r>
      <w:r w:rsidR="0039522E">
        <w:t>requirement</w:t>
      </w:r>
      <w:r w:rsidR="001866E3">
        <w:t xml:space="preserve"> in </w:t>
      </w:r>
      <w:r w:rsidR="0011785C">
        <w:t>all</w:t>
      </w:r>
      <w:r w:rsidR="001866E3">
        <w:t xml:space="preserve"> four </w:t>
      </w:r>
      <w:r w:rsidR="0011785C">
        <w:t>of the</w:t>
      </w:r>
      <w:r w:rsidR="003C3575">
        <w:t xml:space="preserve"> upcoming</w:t>
      </w:r>
      <w:r w:rsidR="0011785C">
        <w:t xml:space="preserve"> </w:t>
      </w:r>
      <w:r w:rsidR="001866E3">
        <w:t>seasonal delivery periods.</w:t>
      </w:r>
      <w:r w:rsidR="003C3575">
        <w:rPr>
          <w:rStyle w:val="FootnoteReference"/>
        </w:rPr>
        <w:footnoteReference w:id="13"/>
      </w:r>
      <w:r w:rsidR="0029352D">
        <w:t xml:space="preserve">  </w:t>
      </w:r>
      <w:r w:rsidR="00586839">
        <w:t>As with the seasonal proposal, th</w:t>
      </w:r>
      <w:r w:rsidR="00A54785">
        <w:t>is</w:t>
      </w:r>
      <w:r w:rsidR="00586839">
        <w:t xml:space="preserve"> proposal to create a Minimum Capacity Requirement (“</w:t>
      </w:r>
      <w:proofErr w:type="spellStart"/>
      <w:r w:rsidR="00586839">
        <w:t>MCR</w:t>
      </w:r>
      <w:proofErr w:type="spellEnd"/>
      <w:r w:rsidR="00586839">
        <w:t xml:space="preserve">”) does not affect </w:t>
      </w:r>
      <w:proofErr w:type="spellStart"/>
      <w:r w:rsidR="00586839">
        <w:t>MISO’s</w:t>
      </w:r>
      <w:proofErr w:type="spellEnd"/>
      <w:r w:rsidR="00586839">
        <w:t xml:space="preserve"> fundamental reliance on LSEs to plan enough generation to meet their expected needs</w:t>
      </w:r>
      <w:r w:rsidR="003A6707">
        <w:t xml:space="preserve">; indeed, it makes such reliance more explicit in </w:t>
      </w:r>
      <w:proofErr w:type="spellStart"/>
      <w:r w:rsidR="003A6707">
        <w:t>MISO’s</w:t>
      </w:r>
      <w:proofErr w:type="spellEnd"/>
      <w:r w:rsidR="003A6707">
        <w:t xml:space="preserve"> market rules</w:t>
      </w:r>
      <w:r w:rsidR="00586839">
        <w:t>.</w:t>
      </w:r>
      <w:r w:rsidR="0039522E">
        <w:rPr>
          <w:rStyle w:val="FootnoteReference"/>
          <w:rFonts w:cs="Arial"/>
        </w:rPr>
        <w:footnoteReference w:id="14"/>
      </w:r>
      <w:r w:rsidR="0029352D">
        <w:t xml:space="preserve"> </w:t>
      </w:r>
    </w:p>
    <w:p w14:paraId="05D9DC17" w14:textId="77777777" w:rsidR="00CC598C" w:rsidRPr="00C15FCE" w:rsidRDefault="00CC598C" w:rsidP="00C15FCE">
      <w:pPr>
        <w:pStyle w:val="A"/>
      </w:pPr>
    </w:p>
    <w:p w14:paraId="11DD10A3" w14:textId="1D8EA506" w:rsidR="00CC598C" w:rsidRPr="009475F6" w:rsidRDefault="008A2F5E" w:rsidP="00CC598C">
      <w:pPr>
        <w:pStyle w:val="Heading1"/>
      </w:pPr>
      <w:bookmarkStart w:id="4" w:name="_Toc82439998"/>
      <w:proofErr w:type="spellStart"/>
      <w:r>
        <w:t>ETI’s</w:t>
      </w:r>
      <w:proofErr w:type="spellEnd"/>
      <w:r>
        <w:t xml:space="preserve"> Decision to Conduct Long-Term Generation Planning</w:t>
      </w:r>
      <w:bookmarkEnd w:id="4"/>
    </w:p>
    <w:p w14:paraId="68D3EC1E" w14:textId="2657D096" w:rsidR="00CC598C" w:rsidRPr="00D61962" w:rsidRDefault="00937D58" w:rsidP="00CC598C">
      <w:pPr>
        <w:pStyle w:val="QUESTION"/>
      </w:pPr>
      <w:r>
        <w:t xml:space="preserve">Is </w:t>
      </w:r>
      <w:proofErr w:type="spellStart"/>
      <w:r>
        <w:t>ETI’s</w:t>
      </w:r>
      <w:proofErr w:type="spellEnd"/>
      <w:r>
        <w:t xml:space="preserve"> decision </w:t>
      </w:r>
      <w:r w:rsidR="000701F8">
        <w:t xml:space="preserve">TO PLAN ENOUGH GENERATION TO MEET ITS </w:t>
      </w:r>
      <w:r w:rsidR="007E44BD">
        <w:t>expected</w:t>
      </w:r>
      <w:r w:rsidR="000701F8">
        <w:t xml:space="preserve"> CAPACITY NEEDS CONSISTENT WITH THE MISO RESOURCE ADEQUACY CONSTRUCT?</w:t>
      </w:r>
    </w:p>
    <w:p w14:paraId="25162FDD" w14:textId="3B294558" w:rsidR="00CC598C" w:rsidRDefault="00CC598C" w:rsidP="00CC598C">
      <w:pPr>
        <w:pStyle w:val="A"/>
        <w:rPr>
          <w:rFonts w:cs="Arial"/>
        </w:rPr>
      </w:pPr>
      <w:r w:rsidRPr="00D61962">
        <w:t>A.</w:t>
      </w:r>
      <w:r w:rsidRPr="00D61962">
        <w:tab/>
      </w:r>
      <w:r w:rsidR="00937D58">
        <w:rPr>
          <w:rFonts w:cs="Arial"/>
        </w:rPr>
        <w:t>Yes</w:t>
      </w:r>
      <w:r w:rsidR="007923DD">
        <w:rPr>
          <w:rFonts w:cs="Arial"/>
        </w:rPr>
        <w:t>.</w:t>
      </w:r>
    </w:p>
    <w:p w14:paraId="729F849A" w14:textId="2DA60C0F" w:rsidR="007923DD" w:rsidRDefault="007923DD" w:rsidP="000D1873">
      <w:pPr>
        <w:pStyle w:val="A"/>
        <w:suppressLineNumbers/>
      </w:pPr>
    </w:p>
    <w:p w14:paraId="15CC401E" w14:textId="17CECB85" w:rsidR="007923DD" w:rsidRPr="00D61962" w:rsidRDefault="000701F8" w:rsidP="007923DD">
      <w:pPr>
        <w:pStyle w:val="QUESTION"/>
      </w:pPr>
      <w:r>
        <w:lastRenderedPageBreak/>
        <w:t xml:space="preserve">BUT TECHNICALLY, </w:t>
      </w:r>
      <w:r w:rsidR="00506B0A">
        <w:t xml:space="preserve">COULD </w:t>
      </w:r>
      <w:proofErr w:type="spellStart"/>
      <w:r w:rsidR="00506B0A">
        <w:t>ETI</w:t>
      </w:r>
      <w:proofErr w:type="spellEnd"/>
      <w:r w:rsidR="006914E3">
        <w:t xml:space="preserve"> PLAN TO</w:t>
      </w:r>
      <w:r w:rsidR="00506B0A">
        <w:t xml:space="preserve"> LEAN ON THE PRA</w:t>
      </w:r>
      <w:r>
        <w:t>?</w:t>
      </w:r>
    </w:p>
    <w:p w14:paraId="562978F5" w14:textId="207C0C26" w:rsidR="007923DD" w:rsidRDefault="007923DD" w:rsidP="007923DD">
      <w:pPr>
        <w:pStyle w:val="A"/>
      </w:pPr>
      <w:r w:rsidRPr="00D61962">
        <w:t>A.</w:t>
      </w:r>
      <w:r w:rsidRPr="00D61962">
        <w:tab/>
      </w:r>
      <w:r w:rsidR="006914E3">
        <w:rPr>
          <w:rFonts w:cs="Arial"/>
        </w:rPr>
        <w:t>T</w:t>
      </w:r>
      <w:r w:rsidR="00506B0A">
        <w:rPr>
          <w:rFonts w:cs="Arial"/>
        </w:rPr>
        <w:t xml:space="preserve">hat would be inconsistent with the MISO resource adequacy construct, but </w:t>
      </w:r>
      <w:r w:rsidR="000701F8">
        <w:rPr>
          <w:rFonts w:cs="Arial"/>
        </w:rPr>
        <w:t>the</w:t>
      </w:r>
      <w:r w:rsidR="00506B0A">
        <w:rPr>
          <w:rFonts w:cs="Arial"/>
        </w:rPr>
        <w:t xml:space="preserve"> MISO Tariff does not currently prohibit </w:t>
      </w:r>
      <w:proofErr w:type="spellStart"/>
      <w:r w:rsidR="00506B0A">
        <w:rPr>
          <w:rFonts w:cs="Arial"/>
        </w:rPr>
        <w:t>ETI</w:t>
      </w:r>
      <w:proofErr w:type="spellEnd"/>
      <w:r w:rsidR="00506B0A">
        <w:rPr>
          <w:rFonts w:cs="Arial"/>
        </w:rPr>
        <w:t xml:space="preserve"> from leaning on the PRA</w:t>
      </w:r>
      <w:r w:rsidR="00CA299E">
        <w:rPr>
          <w:rFonts w:cs="Arial"/>
        </w:rPr>
        <w:t>.  As noted above, MISO has proposed to prohibit an LSE from leaning on the PRA to meet more than 50% of its MISO capacity requirement.</w:t>
      </w:r>
    </w:p>
    <w:p w14:paraId="6BF1C065" w14:textId="58551168" w:rsidR="00CC598C" w:rsidRDefault="00CC598C" w:rsidP="00161286">
      <w:pPr>
        <w:pStyle w:val="A"/>
      </w:pPr>
    </w:p>
    <w:p w14:paraId="53596BB6" w14:textId="495011DE" w:rsidR="000701F8" w:rsidRPr="00D61962" w:rsidRDefault="00A048FD" w:rsidP="000701F8">
      <w:pPr>
        <w:pStyle w:val="QUESTION"/>
      </w:pPr>
      <w:r>
        <w:t>PRA PRICES HAVE BEEN VERY LOW.  WHY NOT LEAN ON THE PRA?</w:t>
      </w:r>
    </w:p>
    <w:p w14:paraId="5289A34A" w14:textId="567CFDFB" w:rsidR="000701F8" w:rsidRDefault="000701F8" w:rsidP="000701F8">
      <w:pPr>
        <w:pStyle w:val="A"/>
        <w:rPr>
          <w:rFonts w:cs="Arial"/>
        </w:rPr>
      </w:pPr>
      <w:r w:rsidRPr="00D61962">
        <w:t>A.</w:t>
      </w:r>
      <w:r w:rsidRPr="00D61962">
        <w:tab/>
      </w:r>
      <w:r w:rsidR="00190BEA">
        <w:rPr>
          <w:rFonts w:cs="Arial"/>
        </w:rPr>
        <w:t xml:space="preserve">There are </w:t>
      </w:r>
      <w:r w:rsidR="00D15E8E">
        <w:rPr>
          <w:rFonts w:cs="Arial"/>
        </w:rPr>
        <w:t>several</w:t>
      </w:r>
      <w:r w:rsidR="00190BEA">
        <w:rPr>
          <w:rFonts w:cs="Arial"/>
        </w:rPr>
        <w:t xml:space="preserve"> good reasons not to do that.</w:t>
      </w:r>
    </w:p>
    <w:p w14:paraId="7DD966F9" w14:textId="52D32B5E" w:rsidR="00583A75" w:rsidRPr="006A0713" w:rsidRDefault="00A048FD" w:rsidP="00C15FCE">
      <w:pPr>
        <w:pStyle w:val="A2"/>
      </w:pPr>
      <w:r>
        <w:t xml:space="preserve">First, PRA prices have been low, but that does not mean that they will stay low.  As discussed above, PRA prices can rise abruptly given the extreme inelasticity of both supply and demand.  </w:t>
      </w:r>
      <w:r w:rsidR="002A05F1">
        <w:t>Recent</w:t>
      </w:r>
      <w:r>
        <w:t xml:space="preserve"> low </w:t>
      </w:r>
      <w:r w:rsidR="002A05F1">
        <w:t xml:space="preserve">PRA </w:t>
      </w:r>
      <w:r>
        <w:t xml:space="preserve">prices would seem to indicate that MISO is awash in surplus capacity, but that is not </w:t>
      </w:r>
      <w:r w:rsidR="00E819A1">
        <w:t>the case</w:t>
      </w:r>
      <w:r>
        <w:t xml:space="preserve">.  Figure 2 shows that a net change in the supply-demand balance of less than 5% would leave MISO without enough capacity to meet </w:t>
      </w:r>
      <w:r w:rsidR="000B0185">
        <w:t>its</w:t>
      </w:r>
      <w:r>
        <w:t xml:space="preserve"> target </w:t>
      </w:r>
      <w:r w:rsidR="00D45651">
        <w:t xml:space="preserve">planning </w:t>
      </w:r>
      <w:r>
        <w:t xml:space="preserve">reserve margin, in which case the clearing price would be set at </w:t>
      </w:r>
      <w:r w:rsidR="006A0F9C">
        <w:t xml:space="preserve">CONE, </w:t>
      </w:r>
      <w:r>
        <w:t>the cap</w:t>
      </w:r>
      <w:r w:rsidR="006A0F9C">
        <w:t>.</w:t>
      </w:r>
      <w:r>
        <w:t xml:space="preserve">  With the number </w:t>
      </w:r>
      <w:r w:rsidRPr="006A0713">
        <w:t xml:space="preserve">of aging resources </w:t>
      </w:r>
      <w:r w:rsidR="002A05F1" w:rsidRPr="006A0713">
        <w:t>in MISO</w:t>
      </w:r>
      <w:r w:rsidR="00896044" w:rsidRPr="006A0713">
        <w:t xml:space="preserve"> and the pressure to retire those resources, in</w:t>
      </w:r>
      <w:r w:rsidR="007E44BD" w:rsidRPr="006A0713">
        <w:t>cluding coal,</w:t>
      </w:r>
      <w:r w:rsidR="002A05F1" w:rsidRPr="006A0713">
        <w:t xml:space="preserve"> a 5% reduction in the supply-demand balance is</w:t>
      </w:r>
      <w:r w:rsidR="00DF7645">
        <w:t xml:space="preserve"> certainly possible</w:t>
      </w:r>
      <w:r w:rsidR="002A05F1" w:rsidRPr="006A0713">
        <w:t xml:space="preserve"> by the time </w:t>
      </w:r>
      <w:r w:rsidR="001F191B">
        <w:t>OCAPS</w:t>
      </w:r>
      <w:r w:rsidR="002A05F1" w:rsidRPr="006A0713">
        <w:t xml:space="preserve"> is planned to be in-service</w:t>
      </w:r>
      <w:r w:rsidR="006A0F9C">
        <w:t xml:space="preserve"> five years from now,</w:t>
      </w:r>
      <w:r w:rsidR="002A05F1" w:rsidRPr="006A0713">
        <w:t xml:space="preserve"> in 2026.</w:t>
      </w:r>
      <w:r w:rsidR="00DF7645">
        <w:t xml:space="preserve">  This would not represent an extraordinary shift.  For example, t</w:t>
      </w:r>
      <w:r w:rsidR="005729BC" w:rsidRPr="006A0713">
        <w:t xml:space="preserve">he </w:t>
      </w:r>
      <w:proofErr w:type="spellStart"/>
      <w:r w:rsidR="005729BC" w:rsidRPr="006A0713">
        <w:t>ERCOT</w:t>
      </w:r>
      <w:proofErr w:type="spellEnd"/>
      <w:r w:rsidR="005729BC" w:rsidRPr="006A0713">
        <w:t xml:space="preserve"> </w:t>
      </w:r>
      <w:r w:rsidR="00D45651">
        <w:t xml:space="preserve">planning </w:t>
      </w:r>
      <w:r w:rsidR="005729BC" w:rsidRPr="006A0713">
        <w:t>reserve</w:t>
      </w:r>
      <w:r w:rsidR="003B308D" w:rsidRPr="006A0713">
        <w:t xml:space="preserve"> margin</w:t>
      </w:r>
      <w:r w:rsidR="005729BC" w:rsidRPr="006A0713">
        <w:t xml:space="preserve"> fell by </w:t>
      </w:r>
      <w:r w:rsidR="006A0713" w:rsidRPr="006A0713">
        <w:t>7.6</w:t>
      </w:r>
      <w:r w:rsidR="005729BC" w:rsidRPr="006A0713">
        <w:t xml:space="preserve">% </w:t>
      </w:r>
      <w:r w:rsidR="00926A3E">
        <w:t xml:space="preserve">in one year </w:t>
      </w:r>
      <w:r w:rsidR="005729BC" w:rsidRPr="006A0713">
        <w:t>between 20</w:t>
      </w:r>
      <w:r w:rsidR="006A0713" w:rsidRPr="006A0713">
        <w:t>17</w:t>
      </w:r>
      <w:r w:rsidR="005729BC" w:rsidRPr="006A0713">
        <w:t xml:space="preserve"> and 20</w:t>
      </w:r>
      <w:r w:rsidR="006A0713" w:rsidRPr="006A0713">
        <w:t>18</w:t>
      </w:r>
      <w:r w:rsidR="005729BC" w:rsidRPr="006A0713">
        <w:t>.</w:t>
      </w:r>
      <w:r w:rsidR="00AC2030" w:rsidRPr="00AC2030">
        <w:rPr>
          <w:rStyle w:val="FootnoteReference"/>
        </w:rPr>
        <w:footnoteReference w:id="15"/>
      </w:r>
    </w:p>
    <w:p w14:paraId="6BB2AEFA" w14:textId="0150F505" w:rsidR="007C2121" w:rsidRDefault="000261BD" w:rsidP="007C2121">
      <w:pPr>
        <w:pStyle w:val="A2"/>
      </w:pPr>
      <w:r w:rsidRPr="006A0713">
        <w:lastRenderedPageBreak/>
        <w:t xml:space="preserve">Second, if </w:t>
      </w:r>
      <w:proofErr w:type="spellStart"/>
      <w:r w:rsidR="00E819A1" w:rsidRPr="006A0713">
        <w:t>ETI</w:t>
      </w:r>
      <w:proofErr w:type="spellEnd"/>
      <w:r w:rsidR="00E819A1" w:rsidRPr="006A0713">
        <w:t xml:space="preserve"> were to deactivate a significant portion of its aging generation</w:t>
      </w:r>
      <w:r w:rsidR="004A0088" w:rsidRPr="006A0713">
        <w:t xml:space="preserve"> in</w:t>
      </w:r>
      <w:r w:rsidR="00E819A1" w:rsidRPr="006A0713">
        <w:t xml:space="preserve"> East Texas, </w:t>
      </w:r>
      <w:r w:rsidR="009A591F" w:rsidRPr="006A0713">
        <w:t>it is very un</w:t>
      </w:r>
      <w:r w:rsidR="009A591F">
        <w:t xml:space="preserve">likely that merchant entry would occur in East Texas to replace </w:t>
      </w:r>
      <w:r w:rsidR="00DD542C">
        <w:t>it</w:t>
      </w:r>
      <w:r w:rsidR="009E0B93">
        <w:t>.  As discussed above, the PRA is not designed to be a substitute for long-term planning; it lacks the design features necessary to send efficient price signals for merchant entry</w:t>
      </w:r>
      <w:r w:rsidR="003A6707">
        <w:t xml:space="preserve"> or to provide sufficient revenues over the life cycle of a new resource to cover the cost of ownership, including a reasonable return on investment</w:t>
      </w:r>
      <w:r w:rsidR="009E0B93">
        <w:t>.</w:t>
      </w:r>
      <w:r w:rsidR="00DD542C">
        <w:t xml:space="preserve">  </w:t>
      </w:r>
      <w:r w:rsidR="003A6707">
        <w:t>Thus, u</w:t>
      </w:r>
      <w:r w:rsidR="00DD542C">
        <w:t xml:space="preserve">nless </w:t>
      </w:r>
      <w:proofErr w:type="spellStart"/>
      <w:r w:rsidR="00DD542C">
        <w:t>ETI</w:t>
      </w:r>
      <w:proofErr w:type="spellEnd"/>
      <w:r w:rsidR="00DD542C">
        <w:t xml:space="preserve"> plans to replace </w:t>
      </w:r>
      <w:r w:rsidR="000D3F50">
        <w:t>its</w:t>
      </w:r>
      <w:r w:rsidR="00DD542C">
        <w:t xml:space="preserve"> aging </w:t>
      </w:r>
      <w:r w:rsidR="00C061A5">
        <w:t xml:space="preserve">local </w:t>
      </w:r>
      <w:r w:rsidR="00DD542C">
        <w:t>generation with new local generation, t</w:t>
      </w:r>
      <w:r w:rsidR="009E0B93">
        <w:t>he</w:t>
      </w:r>
      <w:r w:rsidR="00C51496">
        <w:t>re would be</w:t>
      </w:r>
      <w:r w:rsidR="009E0B93">
        <w:t xml:space="preserve"> a reduction of capacity within the </w:t>
      </w:r>
      <w:proofErr w:type="spellStart"/>
      <w:r w:rsidR="009E0B93">
        <w:t>ETI</w:t>
      </w:r>
      <w:proofErr w:type="spellEnd"/>
      <w:r w:rsidR="009E0B93">
        <w:t xml:space="preserve"> service territory</w:t>
      </w:r>
      <w:r w:rsidR="00C51496">
        <w:t xml:space="preserve"> and a degradation of reliability.</w:t>
      </w:r>
    </w:p>
    <w:p w14:paraId="22012B5C" w14:textId="05841E2D" w:rsidR="00C432AB" w:rsidRDefault="00531909" w:rsidP="007C2121">
      <w:pPr>
        <w:pStyle w:val="A2"/>
      </w:pPr>
      <w:proofErr w:type="spellStart"/>
      <w:r>
        <w:t>ETI’s</w:t>
      </w:r>
      <w:proofErr w:type="spellEnd"/>
      <w:r>
        <w:t xml:space="preserve"> service territory is </w:t>
      </w:r>
      <w:r w:rsidR="009E0B93">
        <w:t>located entirely within the West-of-the-Atchafalaya-Basin (“</w:t>
      </w:r>
      <w:proofErr w:type="spellStart"/>
      <w:r w:rsidR="009E0B93">
        <w:t>WOTAB</w:t>
      </w:r>
      <w:proofErr w:type="spellEnd"/>
      <w:r w:rsidR="009E0B93">
        <w:t>”) load pocket</w:t>
      </w:r>
      <w:r>
        <w:t xml:space="preserve">, which is </w:t>
      </w:r>
      <w:r w:rsidR="009E0B93">
        <w:t xml:space="preserve">not supported by flows from the west because of the asynchronous </w:t>
      </w:r>
      <w:r w:rsidR="006A0F9C">
        <w:t xml:space="preserve">border </w:t>
      </w:r>
      <w:r w:rsidR="009E0B93">
        <w:t xml:space="preserve">with </w:t>
      </w:r>
      <w:proofErr w:type="spellStart"/>
      <w:r w:rsidR="009E0B93">
        <w:t>ERCOT</w:t>
      </w:r>
      <w:proofErr w:type="spellEnd"/>
      <w:r>
        <w:t xml:space="preserve"> or from the south</w:t>
      </w:r>
      <w:r w:rsidR="006A0F9C">
        <w:t xml:space="preserve"> because of the</w:t>
      </w:r>
      <w:r w:rsidR="009E0B93">
        <w:t xml:space="preserve"> Gulf of Mexico.  </w:t>
      </w:r>
      <w:proofErr w:type="spellStart"/>
      <w:r w:rsidR="009E0B93">
        <w:t>ETI</w:t>
      </w:r>
      <w:proofErr w:type="spellEnd"/>
      <w:r w:rsidR="009E0B93">
        <w:t xml:space="preserve"> relies on</w:t>
      </w:r>
      <w:r w:rsidR="00DA27F5">
        <w:t xml:space="preserve"> </w:t>
      </w:r>
      <w:r>
        <w:t xml:space="preserve">local generation and </w:t>
      </w:r>
      <w:r w:rsidR="00DA27F5">
        <w:t>a finite amount of transmission from the east to serve its customers</w:t>
      </w:r>
      <w:r w:rsidR="00171284">
        <w:t>, as shown in Figure 4.</w:t>
      </w:r>
      <w:r w:rsidR="00DA27F5">
        <w:t xml:space="preserve">  A reduction in local generation</w:t>
      </w:r>
      <w:r w:rsidR="00C432AB">
        <w:t xml:space="preserve"> </w:t>
      </w:r>
      <w:r w:rsidR="00DA27F5">
        <w:t>would</w:t>
      </w:r>
      <w:r w:rsidR="005729BC">
        <w:t xml:space="preserve"> increase the </w:t>
      </w:r>
      <w:r w:rsidR="00926A3E">
        <w:t xml:space="preserve">expected </w:t>
      </w:r>
      <w:r w:rsidR="005729BC">
        <w:t>frequency of local scarcity events and</w:t>
      </w:r>
      <w:r w:rsidR="00DA27F5">
        <w:t xml:space="preserve"> reduce the reliability of service to </w:t>
      </w:r>
      <w:proofErr w:type="spellStart"/>
      <w:r w:rsidR="00DA27F5">
        <w:t>ETI’s</w:t>
      </w:r>
      <w:proofErr w:type="spellEnd"/>
      <w:r w:rsidR="00DA27F5">
        <w:t xml:space="preserve"> customers.  </w:t>
      </w:r>
      <w:r w:rsidR="004C03E2">
        <w:t xml:space="preserve">These are not abstract concerns – </w:t>
      </w:r>
      <w:proofErr w:type="spellStart"/>
      <w:r w:rsidR="004C03E2">
        <w:t>ETI</w:t>
      </w:r>
      <w:proofErr w:type="spellEnd"/>
      <w:r w:rsidR="004C03E2">
        <w:t xml:space="preserve"> </w:t>
      </w:r>
      <w:r w:rsidR="00DA27F5">
        <w:t>experienced local scarcity twice during the past year following Hurricane Laura and Winter Storm Uri and was forced to curtail firm service to its customers during both events.</w:t>
      </w:r>
      <w:r w:rsidR="00D15E8E">
        <w:t xml:space="preserve">  New local generation</w:t>
      </w:r>
      <w:r w:rsidR="00153EEA">
        <w:t xml:space="preserve"> can mitigate the risk of such events, but </w:t>
      </w:r>
      <w:r w:rsidR="00BF620E">
        <w:t xml:space="preserve">that generation </w:t>
      </w:r>
      <w:r w:rsidR="00153EEA">
        <w:t xml:space="preserve">is very unlikely to materialize if </w:t>
      </w:r>
      <w:proofErr w:type="spellStart"/>
      <w:r w:rsidR="00153EEA">
        <w:t>ETI</w:t>
      </w:r>
      <w:proofErr w:type="spellEnd"/>
      <w:r w:rsidR="00153EEA">
        <w:t xml:space="preserve"> leans on the PRA.</w:t>
      </w:r>
      <w:r w:rsidR="003D0934">
        <w:t xml:space="preserve">  Even if merchant generation were to be built in East Texas, there is no certain</w:t>
      </w:r>
      <w:r w:rsidR="00987046">
        <w:t xml:space="preserve">ty it would be built in time to </w:t>
      </w:r>
      <w:r w:rsidR="0003663C">
        <w:t xml:space="preserve">timely or </w:t>
      </w:r>
      <w:r w:rsidR="00987046">
        <w:t xml:space="preserve">adequately protect </w:t>
      </w:r>
      <w:proofErr w:type="spellStart"/>
      <w:r w:rsidR="00987046">
        <w:t>ETI</w:t>
      </w:r>
      <w:proofErr w:type="spellEnd"/>
      <w:r w:rsidR="00987046">
        <w:t xml:space="preserve"> customers </w:t>
      </w:r>
      <w:r w:rsidR="00E33DE7">
        <w:t>from generation scarcity</w:t>
      </w:r>
      <w:r w:rsidR="005B1E63">
        <w:t xml:space="preserve">.  </w:t>
      </w:r>
      <w:proofErr w:type="spellStart"/>
      <w:r w:rsidR="00D15E8E">
        <w:t>ETI</w:t>
      </w:r>
      <w:proofErr w:type="spellEnd"/>
      <w:r w:rsidR="00D15E8E">
        <w:t xml:space="preserve"> </w:t>
      </w:r>
      <w:r w:rsidR="00BF620E">
        <w:t>w</w:t>
      </w:r>
      <w:r w:rsidR="00D15E8E">
        <w:t xml:space="preserve">itness </w:t>
      </w:r>
      <w:r w:rsidR="00BD4C54">
        <w:t>Daniel</w:t>
      </w:r>
      <w:r w:rsidR="00D15E8E">
        <w:t xml:space="preserve"> Kline</w:t>
      </w:r>
      <w:r w:rsidR="00926A3E">
        <w:t>’s Direct Testimony</w:t>
      </w:r>
      <w:r w:rsidR="00D15E8E">
        <w:t xml:space="preserve"> </w:t>
      </w:r>
      <w:r w:rsidR="00926A3E">
        <w:t xml:space="preserve">further </w:t>
      </w:r>
      <w:r w:rsidR="00D0566E">
        <w:t xml:space="preserve">describes the </w:t>
      </w:r>
      <w:r w:rsidR="00143609">
        <w:t xml:space="preserve">transmission-related </w:t>
      </w:r>
      <w:r w:rsidR="00D0566E">
        <w:t>benefits of local generation.</w:t>
      </w:r>
      <w:r w:rsidR="00171284">
        <w:t xml:space="preserve"> </w:t>
      </w:r>
    </w:p>
    <w:p w14:paraId="30043E13" w14:textId="2724D3AD" w:rsidR="00171284" w:rsidRPr="00C15FCE" w:rsidRDefault="00171284" w:rsidP="00676EA5">
      <w:pPr>
        <w:pStyle w:val="Title"/>
        <w:rPr>
          <w:u w:val="single"/>
        </w:rPr>
      </w:pPr>
      <w:bookmarkStart w:id="5" w:name="_GoBack"/>
      <w:bookmarkEnd w:id="5"/>
      <w:r w:rsidRPr="00C15FCE">
        <w:rPr>
          <w:u w:val="single"/>
        </w:rPr>
        <w:lastRenderedPageBreak/>
        <w:t>Figure 4</w:t>
      </w:r>
    </w:p>
    <w:p w14:paraId="2DCE36A5" w14:textId="65E82369" w:rsidR="00171284" w:rsidRPr="00262452" w:rsidRDefault="00171284" w:rsidP="00676EA5">
      <w:pPr>
        <w:keepNext/>
        <w:keepLines/>
        <w:suppressLineNumbers/>
        <w:spacing w:after="240"/>
        <w:jc w:val="center"/>
        <w:rPr>
          <w:b/>
        </w:rPr>
      </w:pPr>
      <w:proofErr w:type="spellStart"/>
      <w:r w:rsidRPr="00262452">
        <w:rPr>
          <w:b/>
        </w:rPr>
        <w:t>ETI</w:t>
      </w:r>
      <w:proofErr w:type="spellEnd"/>
      <w:r w:rsidRPr="00262452">
        <w:rPr>
          <w:b/>
        </w:rPr>
        <w:t xml:space="preserve"> </w:t>
      </w:r>
      <w:r w:rsidR="003351BE" w:rsidRPr="00262452">
        <w:rPr>
          <w:b/>
        </w:rPr>
        <w:t>Relies on Local Generation and Finite Transmission Capacity from the East</w:t>
      </w:r>
    </w:p>
    <w:p w14:paraId="18B912C9" w14:textId="4EEB9716" w:rsidR="00171284" w:rsidRDefault="00EA3B2D" w:rsidP="00676EA5">
      <w:pPr>
        <w:pStyle w:val="A"/>
        <w:keepNext/>
        <w:keepLines/>
        <w:suppressLineNumbers/>
        <w:jc w:val="center"/>
      </w:pPr>
      <w:r w:rsidRPr="00EA3B2D">
        <w:rPr>
          <w:noProof/>
        </w:rPr>
        <w:drawing>
          <wp:inline distT="0" distB="0" distL="0" distR="0" wp14:anchorId="7B9BE6B4" wp14:editId="637F53F9">
            <wp:extent cx="4025900" cy="3140422"/>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30034" cy="3143646"/>
                    </a:xfrm>
                    <a:prstGeom prst="rect">
                      <a:avLst/>
                    </a:prstGeom>
                    <a:noFill/>
                    <a:ln>
                      <a:noFill/>
                    </a:ln>
                  </pic:spPr>
                </pic:pic>
              </a:graphicData>
            </a:graphic>
          </wp:inline>
        </w:drawing>
      </w:r>
    </w:p>
    <w:p w14:paraId="14E37A20" w14:textId="79B677B6" w:rsidR="006E2971" w:rsidRDefault="006E2971" w:rsidP="006A626A">
      <w:pPr>
        <w:pStyle w:val="A"/>
        <w:suppressLineNumbers/>
      </w:pPr>
    </w:p>
    <w:p w14:paraId="61EFE7B7" w14:textId="12C91393" w:rsidR="005A0620" w:rsidRDefault="008C283A" w:rsidP="00C15FCE">
      <w:pPr>
        <w:pStyle w:val="A2"/>
      </w:pPr>
      <w:r>
        <w:t xml:space="preserve">Third, </w:t>
      </w:r>
      <w:r w:rsidR="00C703DF">
        <w:t xml:space="preserve">if </w:t>
      </w:r>
      <w:proofErr w:type="spellStart"/>
      <w:r w:rsidR="00C703DF">
        <w:t>ETI</w:t>
      </w:r>
      <w:proofErr w:type="spellEnd"/>
      <w:r w:rsidR="00C703DF">
        <w:t xml:space="preserve"> were to</w:t>
      </w:r>
      <w:r w:rsidR="005A0620">
        <w:t xml:space="preserve"> deactivate its </w:t>
      </w:r>
      <w:r w:rsidR="00153EEA">
        <w:t>aging</w:t>
      </w:r>
      <w:r w:rsidR="005A0620">
        <w:t xml:space="preserve"> resources and</w:t>
      </w:r>
      <w:r w:rsidR="00C703DF">
        <w:t xml:space="preserve"> lean on the PRA </w:t>
      </w:r>
      <w:r w:rsidR="00171284">
        <w:t>to meet its expected capacity needs</w:t>
      </w:r>
      <w:r w:rsidR="005A0620">
        <w:t xml:space="preserve"> instead of bringing online actual energy-producing assets, that would aggravate </w:t>
      </w:r>
      <w:proofErr w:type="spellStart"/>
      <w:r w:rsidR="005A0620">
        <w:t>ETI</w:t>
      </w:r>
      <w:r w:rsidR="00A95369">
        <w:t>’s</w:t>
      </w:r>
      <w:proofErr w:type="spellEnd"/>
      <w:r w:rsidR="00A95369">
        <w:t xml:space="preserve"> and its customers’</w:t>
      </w:r>
      <w:r w:rsidR="005A0620">
        <w:t xml:space="preserve"> </w:t>
      </w:r>
      <w:r w:rsidR="00191BF0">
        <w:t>net e</w:t>
      </w:r>
      <w:r w:rsidR="005A0620">
        <w:t xml:space="preserve">xposure to </w:t>
      </w:r>
      <w:r w:rsidR="001E1A9A">
        <w:t xml:space="preserve">energy </w:t>
      </w:r>
      <w:r w:rsidR="009B0909">
        <w:t xml:space="preserve">purchases at </w:t>
      </w:r>
      <w:r w:rsidR="00D7627A">
        <w:t>the Locational Marginal Price (“</w:t>
      </w:r>
      <w:proofErr w:type="spellStart"/>
      <w:r w:rsidR="005A0620">
        <w:t>LMP</w:t>
      </w:r>
      <w:proofErr w:type="spellEnd"/>
      <w:r w:rsidR="00D7627A">
        <w:t>”)</w:t>
      </w:r>
      <w:r w:rsidR="001E1A9A">
        <w:t xml:space="preserve">. </w:t>
      </w:r>
      <w:r w:rsidR="00A95369">
        <w:t xml:space="preserve"> </w:t>
      </w:r>
      <w:proofErr w:type="spellStart"/>
      <w:r w:rsidR="00A95369">
        <w:t>ETI</w:t>
      </w:r>
      <w:proofErr w:type="spellEnd"/>
      <w:r w:rsidR="00A95369">
        <w:t xml:space="preserve"> purchases 100% of its energy needs from the MISO market at </w:t>
      </w:r>
      <w:proofErr w:type="spellStart"/>
      <w:r w:rsidR="00A95369">
        <w:t>LMP</w:t>
      </w:r>
      <w:proofErr w:type="spellEnd"/>
      <w:r w:rsidR="00A95369">
        <w:t xml:space="preserve">, but the cost of these purchases </w:t>
      </w:r>
      <w:r w:rsidR="003A6707">
        <w:t xml:space="preserve">is </w:t>
      </w:r>
      <w:r w:rsidR="00A95369">
        <w:t>offset by the revenue derived from the sale of energy</w:t>
      </w:r>
      <w:r w:rsidR="00BD4C54">
        <w:t xml:space="preserve"> from owned and contracted generation</w:t>
      </w:r>
      <w:r w:rsidR="00A95369">
        <w:t xml:space="preserve"> at </w:t>
      </w:r>
      <w:proofErr w:type="spellStart"/>
      <w:r w:rsidR="00A95369">
        <w:t>LMP</w:t>
      </w:r>
      <w:proofErr w:type="spellEnd"/>
      <w:r w:rsidR="00A95369">
        <w:t xml:space="preserve">.  </w:t>
      </w:r>
      <w:r w:rsidR="001E1A9A">
        <w:t xml:space="preserve">Unlike owned and contracted generating capacity, capacity purchases in the PRA do not convey a right to energy and therefore </w:t>
      </w:r>
      <w:r w:rsidR="00A95369">
        <w:t xml:space="preserve">would not hedge </w:t>
      </w:r>
      <w:proofErr w:type="spellStart"/>
      <w:r w:rsidR="00A95369">
        <w:t>ETI’s</w:t>
      </w:r>
      <w:proofErr w:type="spellEnd"/>
      <w:r w:rsidR="00A95369">
        <w:t xml:space="preserve"> exposure</w:t>
      </w:r>
      <w:r w:rsidR="00896044">
        <w:t xml:space="preserve"> in the energy market</w:t>
      </w:r>
      <w:r w:rsidR="00A95369">
        <w:t>.</w:t>
      </w:r>
      <w:r w:rsidR="00BE16FF">
        <w:t xml:space="preserve"> </w:t>
      </w:r>
      <w:r w:rsidR="00171284">
        <w:t xml:space="preserve"> </w:t>
      </w:r>
      <w:r w:rsidR="00BE16FF">
        <w:t xml:space="preserve">A deliberate plan to rely on the PRA to meet a substantial portion of </w:t>
      </w:r>
      <w:proofErr w:type="spellStart"/>
      <w:r w:rsidR="00BE16FF">
        <w:t>ETI’s</w:t>
      </w:r>
      <w:proofErr w:type="spellEnd"/>
      <w:r w:rsidR="00BE16FF">
        <w:t xml:space="preserve"> capacity needs would not only entail exposure to prices in the PRA, which are volatile by design, but also to </w:t>
      </w:r>
      <w:r w:rsidR="00984C10">
        <w:t xml:space="preserve">volatile </w:t>
      </w:r>
      <w:r w:rsidR="00BE16FF">
        <w:t>energy prices.</w:t>
      </w:r>
      <w:r w:rsidR="003169E4">
        <w:t xml:space="preserve">  As discussed in the Direct Testimony of </w:t>
      </w:r>
      <w:proofErr w:type="spellStart"/>
      <w:r w:rsidR="003169E4">
        <w:t>ETI</w:t>
      </w:r>
      <w:proofErr w:type="spellEnd"/>
      <w:r w:rsidR="003169E4">
        <w:t xml:space="preserve"> </w:t>
      </w:r>
      <w:r w:rsidR="00BF620E">
        <w:t>w</w:t>
      </w:r>
      <w:r w:rsidR="003169E4">
        <w:t xml:space="preserve">itness </w:t>
      </w:r>
      <w:r w:rsidR="003169E4">
        <w:lastRenderedPageBreak/>
        <w:t xml:space="preserve">Abigail Weaver, </w:t>
      </w:r>
      <w:r w:rsidR="009B6E36">
        <w:t xml:space="preserve">in the absence of OCAPS, </w:t>
      </w:r>
      <w:proofErr w:type="spellStart"/>
      <w:r w:rsidR="009B6E36">
        <w:t>ETI</w:t>
      </w:r>
      <w:proofErr w:type="spellEnd"/>
      <w:r w:rsidR="009B6E36">
        <w:t xml:space="preserve"> is projected to be short almost 9.2 </w:t>
      </w:r>
      <w:proofErr w:type="spellStart"/>
      <w:r w:rsidR="009B6E36">
        <w:t>TWh</w:t>
      </w:r>
      <w:proofErr w:type="spellEnd"/>
      <w:r w:rsidR="009B6E36">
        <w:t xml:space="preserve">, or nearly 40% of the energy needed to serve </w:t>
      </w:r>
      <w:proofErr w:type="spellStart"/>
      <w:r w:rsidR="009B6E36">
        <w:t>ETI’s</w:t>
      </w:r>
      <w:proofErr w:type="spellEnd"/>
      <w:r w:rsidR="009B6E36">
        <w:t xml:space="preserve"> customers.  A long-term strategy to purchase this much energy from the MISO spot market would entail substantial risk for </w:t>
      </w:r>
      <w:proofErr w:type="spellStart"/>
      <w:r w:rsidR="009B6E36">
        <w:t>ETI’s</w:t>
      </w:r>
      <w:proofErr w:type="spellEnd"/>
      <w:r w:rsidR="009B6E36">
        <w:t xml:space="preserve"> customers.</w:t>
      </w:r>
    </w:p>
    <w:p w14:paraId="6F1333B2" w14:textId="7738B16D" w:rsidR="009A591F" w:rsidRDefault="009A591F" w:rsidP="000701F8">
      <w:pPr>
        <w:pStyle w:val="A"/>
      </w:pPr>
    </w:p>
    <w:p w14:paraId="085B350B" w14:textId="3346117A" w:rsidR="00BE16FF" w:rsidRPr="00D61962" w:rsidRDefault="00BE16FF" w:rsidP="00BE16FF">
      <w:pPr>
        <w:pStyle w:val="QUESTION"/>
      </w:pPr>
      <w:r>
        <w:t xml:space="preserve">HAS </w:t>
      </w:r>
      <w:proofErr w:type="spellStart"/>
      <w:r>
        <w:t>ETI</w:t>
      </w:r>
      <w:proofErr w:type="spellEnd"/>
      <w:r>
        <w:t xml:space="preserve"> REASONABLY </w:t>
      </w:r>
      <w:r w:rsidR="0093330F">
        <w:t>DECIDED</w:t>
      </w:r>
      <w:r>
        <w:t xml:space="preserve"> TO PLAN ENOUGH GENERATION TO MEET ITS </w:t>
      </w:r>
      <w:r w:rsidR="00171284">
        <w:t>EXPECTED</w:t>
      </w:r>
      <w:r>
        <w:t xml:space="preserve"> CAPACITY NEEDS, RATHER THAN PLAN TO RELY ON THE PRA?</w:t>
      </w:r>
    </w:p>
    <w:p w14:paraId="6E2A2898" w14:textId="4700BA14" w:rsidR="009E0B93" w:rsidRDefault="009E0B93" w:rsidP="009E0B93">
      <w:pPr>
        <w:pStyle w:val="A"/>
      </w:pPr>
      <w:r w:rsidRPr="00D61962">
        <w:t>A.</w:t>
      </w:r>
      <w:r w:rsidRPr="00D61962">
        <w:tab/>
      </w:r>
      <w:r w:rsidR="00BE16FF">
        <w:rPr>
          <w:rFonts w:cs="Arial"/>
        </w:rPr>
        <w:t xml:space="preserve">Yes.  </w:t>
      </w:r>
      <w:proofErr w:type="spellStart"/>
      <w:r w:rsidR="00BE16FF">
        <w:rPr>
          <w:rFonts w:cs="Arial"/>
        </w:rPr>
        <w:t>ETI’s</w:t>
      </w:r>
      <w:proofErr w:type="spellEnd"/>
      <w:r w:rsidR="00BE16FF">
        <w:rPr>
          <w:rFonts w:cs="Arial"/>
        </w:rPr>
        <w:t xml:space="preserve"> decision is not only consistent with the MISO resource adequacy construct, which relies on LSEs to plan this way, but </w:t>
      </w:r>
      <w:r w:rsidR="00784FDD">
        <w:rPr>
          <w:rFonts w:cs="Arial"/>
        </w:rPr>
        <w:t xml:space="preserve">also </w:t>
      </w:r>
      <w:r w:rsidR="00BE16FF">
        <w:rPr>
          <w:rFonts w:cs="Arial"/>
        </w:rPr>
        <w:t xml:space="preserve">entirely </w:t>
      </w:r>
      <w:r w:rsidR="00051372">
        <w:rPr>
          <w:rFonts w:cs="Arial"/>
        </w:rPr>
        <w:t xml:space="preserve">consistent with </w:t>
      </w:r>
      <w:proofErr w:type="spellStart"/>
      <w:r w:rsidR="00051372">
        <w:rPr>
          <w:rFonts w:cs="Arial"/>
        </w:rPr>
        <w:t>ETI’s</w:t>
      </w:r>
      <w:proofErr w:type="spellEnd"/>
      <w:r w:rsidR="00051372">
        <w:rPr>
          <w:rFonts w:cs="Arial"/>
        </w:rPr>
        <w:t xml:space="preserve"> </w:t>
      </w:r>
      <w:r w:rsidR="00075E7C">
        <w:rPr>
          <w:rFonts w:cs="Arial"/>
        </w:rPr>
        <w:t>obligation to provide service to its customers in a reliable and economic manner while managing risk</w:t>
      </w:r>
      <w:r w:rsidR="00BE16FF">
        <w:rPr>
          <w:rFonts w:cs="Arial"/>
        </w:rPr>
        <w:t xml:space="preserve">.  Further, it is consistent with the planning practices of </w:t>
      </w:r>
      <w:r w:rsidR="00F26808">
        <w:rPr>
          <w:rFonts w:cs="Arial"/>
        </w:rPr>
        <w:t xml:space="preserve">virtually </w:t>
      </w:r>
      <w:r w:rsidR="00BE16FF">
        <w:rPr>
          <w:rFonts w:cs="Arial"/>
        </w:rPr>
        <w:t>every other vertically</w:t>
      </w:r>
      <w:r w:rsidR="00075E7C">
        <w:rPr>
          <w:rFonts w:cs="Arial"/>
        </w:rPr>
        <w:t xml:space="preserve"> </w:t>
      </w:r>
      <w:r w:rsidR="00BE16FF">
        <w:rPr>
          <w:rFonts w:cs="Arial"/>
        </w:rPr>
        <w:t>integrated utility</w:t>
      </w:r>
      <w:r w:rsidR="00E74E26">
        <w:rPr>
          <w:rFonts w:cs="Arial"/>
        </w:rPr>
        <w:t xml:space="preserve"> in MISO.  I </w:t>
      </w:r>
      <w:r w:rsidR="00A05D02">
        <w:rPr>
          <w:rFonts w:cs="Arial"/>
        </w:rPr>
        <w:t xml:space="preserve">am unaware of </w:t>
      </w:r>
      <w:r w:rsidR="00E74E26">
        <w:rPr>
          <w:rFonts w:cs="Arial"/>
        </w:rPr>
        <w:t xml:space="preserve">any other </w:t>
      </w:r>
      <w:r w:rsidR="00D508ED">
        <w:rPr>
          <w:rFonts w:cs="Arial"/>
        </w:rPr>
        <w:t xml:space="preserve">large </w:t>
      </w:r>
      <w:r w:rsidR="00E74E26">
        <w:rPr>
          <w:rFonts w:cs="Arial"/>
        </w:rPr>
        <w:t>vertically</w:t>
      </w:r>
      <w:r w:rsidR="00075E7C">
        <w:rPr>
          <w:rFonts w:cs="Arial"/>
        </w:rPr>
        <w:t xml:space="preserve"> </w:t>
      </w:r>
      <w:r w:rsidR="00E74E26">
        <w:rPr>
          <w:rFonts w:cs="Arial"/>
        </w:rPr>
        <w:t xml:space="preserve">integrated utility in MISO that plans to meet a substantial portion of its </w:t>
      </w:r>
      <w:r w:rsidR="00171284">
        <w:rPr>
          <w:rFonts w:cs="Arial"/>
        </w:rPr>
        <w:t>expected</w:t>
      </w:r>
      <w:r w:rsidR="00E74E26">
        <w:rPr>
          <w:rFonts w:cs="Arial"/>
        </w:rPr>
        <w:t xml:space="preserve"> capacity needs through reliance on the PRA.  If </w:t>
      </w:r>
      <w:proofErr w:type="spellStart"/>
      <w:r w:rsidR="00E74E26">
        <w:rPr>
          <w:rFonts w:cs="Arial"/>
        </w:rPr>
        <w:t>ETI</w:t>
      </w:r>
      <w:proofErr w:type="spellEnd"/>
      <w:r w:rsidR="00E74E26">
        <w:rPr>
          <w:rFonts w:cs="Arial"/>
        </w:rPr>
        <w:t xml:space="preserve"> were to pursue such a strategy, it would be alone in doing so.</w:t>
      </w:r>
    </w:p>
    <w:p w14:paraId="5AEBD6B6" w14:textId="77777777" w:rsidR="00E74E26" w:rsidRDefault="00E74E26" w:rsidP="00E74E26">
      <w:pPr>
        <w:pStyle w:val="A"/>
      </w:pPr>
    </w:p>
    <w:p w14:paraId="2498F230" w14:textId="18BFDC26" w:rsidR="00E74E26" w:rsidRPr="00D61962" w:rsidRDefault="00E74E26" w:rsidP="00E74E26">
      <w:pPr>
        <w:pStyle w:val="QUESTION"/>
      </w:pPr>
      <w:r>
        <w:t xml:space="preserve">given </w:t>
      </w:r>
      <w:proofErr w:type="spellStart"/>
      <w:r>
        <w:t>eti’s</w:t>
      </w:r>
      <w:proofErr w:type="spellEnd"/>
      <w:r>
        <w:t xml:space="preserve"> decision TO PLAN ENOUGH GENERATION TO MEET ITS </w:t>
      </w:r>
      <w:r w:rsidR="00171284">
        <w:t>expected</w:t>
      </w:r>
      <w:r>
        <w:t xml:space="preserve"> CAPACITY NEEDS, is it reasonable for </w:t>
      </w:r>
      <w:proofErr w:type="spellStart"/>
      <w:r>
        <w:t>eti</w:t>
      </w:r>
      <w:proofErr w:type="spellEnd"/>
      <w:r>
        <w:t xml:space="preserve"> to</w:t>
      </w:r>
      <w:r w:rsidR="00C061A5">
        <w:t xml:space="preserve"> ESTIMATE the BENEFITS OF </w:t>
      </w:r>
      <w:r w:rsidR="001F191B">
        <w:t>OCAPS</w:t>
      </w:r>
      <w:r>
        <w:t xml:space="preserve"> by comparison to the cost of </w:t>
      </w:r>
      <w:r w:rsidR="008A5B2A">
        <w:t xml:space="preserve">a </w:t>
      </w:r>
      <w:r>
        <w:t>real</w:t>
      </w:r>
      <w:r w:rsidR="008A5B2A">
        <w:t>, physical</w:t>
      </w:r>
      <w:r>
        <w:t xml:space="preserve"> capacity</w:t>
      </w:r>
      <w:r w:rsidR="008A5B2A">
        <w:t xml:space="preserve"> alternative</w:t>
      </w:r>
      <w:r>
        <w:t>?</w:t>
      </w:r>
    </w:p>
    <w:p w14:paraId="522B4981" w14:textId="5B8D5E38" w:rsidR="00506B0A" w:rsidRDefault="00E74E26" w:rsidP="00E74E26">
      <w:pPr>
        <w:pStyle w:val="A"/>
      </w:pPr>
      <w:r w:rsidRPr="00D61962">
        <w:t>A.</w:t>
      </w:r>
      <w:r w:rsidRPr="00D61962">
        <w:tab/>
      </w:r>
      <w:r>
        <w:rPr>
          <w:rFonts w:cs="Arial"/>
        </w:rPr>
        <w:t>Yes.</w:t>
      </w:r>
      <w:r w:rsidR="008A5B2A">
        <w:rPr>
          <w:rFonts w:cs="Arial"/>
        </w:rPr>
        <w:t xml:space="preserve">  </w:t>
      </w:r>
      <w:r w:rsidR="008A5B2A">
        <w:t xml:space="preserve">This makes sense because </w:t>
      </w:r>
      <w:proofErr w:type="spellStart"/>
      <w:r w:rsidR="008A5B2A">
        <w:t>ETI</w:t>
      </w:r>
      <w:proofErr w:type="spellEnd"/>
      <w:r w:rsidR="008A5B2A">
        <w:t xml:space="preserve"> has reasonably chosen to meet its </w:t>
      </w:r>
      <w:r w:rsidR="00171284">
        <w:t>expected</w:t>
      </w:r>
      <w:r w:rsidR="008A5B2A">
        <w:t xml:space="preserve"> capacity needs </w:t>
      </w:r>
      <w:r w:rsidR="00784FDD">
        <w:t xml:space="preserve">primarily </w:t>
      </w:r>
      <w:r w:rsidR="008A5B2A">
        <w:t xml:space="preserve">through ownership and </w:t>
      </w:r>
      <w:r w:rsidR="00D508ED">
        <w:t>bilateral</w:t>
      </w:r>
      <w:r w:rsidR="008A5B2A">
        <w:t xml:space="preserve"> contracts</w:t>
      </w:r>
      <w:r w:rsidR="00C6201C">
        <w:t xml:space="preserve"> and, again, because </w:t>
      </w:r>
      <w:r w:rsidR="00AE747A">
        <w:lastRenderedPageBreak/>
        <w:t>PRA purchases are not comparable to physical capacity</w:t>
      </w:r>
      <w:r w:rsidR="008A5B2A">
        <w:t>.</w:t>
      </w:r>
      <w:r w:rsidR="00C061A5">
        <w:t xml:space="preserve">  If </w:t>
      </w:r>
      <w:proofErr w:type="spellStart"/>
      <w:r w:rsidR="00E10428">
        <w:t>ETI</w:t>
      </w:r>
      <w:proofErr w:type="spellEnd"/>
      <w:r w:rsidR="00E10428">
        <w:t xml:space="preserve"> </w:t>
      </w:r>
      <w:r w:rsidR="00784FDD">
        <w:t xml:space="preserve">were </w:t>
      </w:r>
      <w:r w:rsidR="00E10428">
        <w:t xml:space="preserve">not planning </w:t>
      </w:r>
      <w:r w:rsidR="001F191B">
        <w:t>OCAPS</w:t>
      </w:r>
      <w:r w:rsidR="00A835C9">
        <w:t xml:space="preserve">, </w:t>
      </w:r>
      <w:r w:rsidR="00E10428">
        <w:t>it</w:t>
      </w:r>
      <w:r w:rsidR="00A835C9">
        <w:t xml:space="preserve"> would plan to meet its needs through ownership</w:t>
      </w:r>
      <w:r w:rsidR="00E10428">
        <w:t xml:space="preserve"> of</w:t>
      </w:r>
      <w:r w:rsidR="00A835C9">
        <w:t xml:space="preserve"> or a bilateral contract wi</w:t>
      </w:r>
      <w:r w:rsidR="00E10428">
        <w:t>th another resource</w:t>
      </w:r>
      <w:r w:rsidR="00A835C9">
        <w:t xml:space="preserve">, and the cost of </w:t>
      </w:r>
      <w:r w:rsidR="00BF620E">
        <w:t xml:space="preserve">a </w:t>
      </w:r>
      <w:r w:rsidR="00A835C9">
        <w:t xml:space="preserve">combustion turbine is </w:t>
      </w:r>
      <w:r w:rsidR="00784FDD">
        <w:t xml:space="preserve">a </w:t>
      </w:r>
      <w:r w:rsidR="00A835C9">
        <w:t>reasonable proxy for the cost of that</w:t>
      </w:r>
      <w:r w:rsidR="00784FDD">
        <w:t xml:space="preserve"> alternative</w:t>
      </w:r>
      <w:r w:rsidR="00A835C9">
        <w:t xml:space="preserve">. </w:t>
      </w:r>
      <w:r w:rsidR="008A5B2A">
        <w:t xml:space="preserve"> It would not make sense to compare the cost of </w:t>
      </w:r>
      <w:r w:rsidR="001F191B">
        <w:t>OCAPS</w:t>
      </w:r>
      <w:r w:rsidR="008A5B2A">
        <w:t xml:space="preserve"> to PRA </w:t>
      </w:r>
      <w:r w:rsidR="00BF620E">
        <w:t xml:space="preserve">prices </w:t>
      </w:r>
      <w:r w:rsidR="008A5B2A">
        <w:t xml:space="preserve">because </w:t>
      </w:r>
      <w:proofErr w:type="spellStart"/>
      <w:r w:rsidR="008A5B2A">
        <w:t>ETI</w:t>
      </w:r>
      <w:proofErr w:type="spellEnd"/>
      <w:r w:rsidR="008A5B2A">
        <w:t xml:space="preserve"> is not pursuing that as a long-term strategy, for good reasons.</w:t>
      </w:r>
    </w:p>
    <w:p w14:paraId="03857C3B" w14:textId="56157539" w:rsidR="008A5B2A" w:rsidRDefault="008A5B2A" w:rsidP="00E74E26">
      <w:pPr>
        <w:pStyle w:val="A"/>
      </w:pPr>
    </w:p>
    <w:p w14:paraId="6E5FD1CF" w14:textId="2409656F" w:rsidR="008A5B2A" w:rsidRPr="009475F6" w:rsidRDefault="00BD0CE5" w:rsidP="008A5B2A">
      <w:pPr>
        <w:pStyle w:val="Heading1"/>
      </w:pPr>
      <w:bookmarkStart w:id="6" w:name="_Toc82439999"/>
      <w:r>
        <w:t xml:space="preserve">Basis for </w:t>
      </w:r>
      <w:proofErr w:type="spellStart"/>
      <w:r>
        <w:t>ETI’s</w:t>
      </w:r>
      <w:proofErr w:type="spellEnd"/>
      <w:r>
        <w:t xml:space="preserve"> Long-Term Planning Reserve Margin Target</w:t>
      </w:r>
      <w:bookmarkEnd w:id="6"/>
    </w:p>
    <w:p w14:paraId="6D00D27B" w14:textId="7D4D769C" w:rsidR="008A5B2A" w:rsidRPr="00D61962" w:rsidRDefault="00137546" w:rsidP="008A5B2A">
      <w:pPr>
        <w:pStyle w:val="QUESTION"/>
      </w:pPr>
      <w:r>
        <w:t xml:space="preserve">DOES </w:t>
      </w:r>
      <w:proofErr w:type="spellStart"/>
      <w:r>
        <w:t>ETI</w:t>
      </w:r>
      <w:proofErr w:type="spellEnd"/>
      <w:r>
        <w:t xml:space="preserve"> </w:t>
      </w:r>
      <w:r w:rsidR="002E7EDB">
        <w:t>have</w:t>
      </w:r>
      <w:r>
        <w:t xml:space="preserve"> A LONG-TERM PLANNING RESERVE MARGIN</w:t>
      </w:r>
      <w:r w:rsidR="002E7EDB">
        <w:t xml:space="preserve"> target</w:t>
      </w:r>
      <w:r>
        <w:t>?</w:t>
      </w:r>
    </w:p>
    <w:p w14:paraId="4399F54A" w14:textId="54555A7F" w:rsidR="004319F5" w:rsidRDefault="008A5B2A" w:rsidP="008A5B2A">
      <w:pPr>
        <w:pStyle w:val="A"/>
        <w:rPr>
          <w:rFonts w:cs="Arial"/>
        </w:rPr>
      </w:pPr>
      <w:r w:rsidRPr="00D61962">
        <w:t>A.</w:t>
      </w:r>
      <w:r w:rsidRPr="00D61962">
        <w:tab/>
      </w:r>
      <w:r w:rsidR="00137546">
        <w:rPr>
          <w:rFonts w:cs="Arial"/>
        </w:rPr>
        <w:t xml:space="preserve">Yes.  </w:t>
      </w:r>
      <w:proofErr w:type="spellStart"/>
      <w:r w:rsidR="00137546">
        <w:rPr>
          <w:rFonts w:cs="Arial"/>
        </w:rPr>
        <w:t>ETI</w:t>
      </w:r>
      <w:proofErr w:type="spellEnd"/>
      <w:r w:rsidR="00137546">
        <w:rPr>
          <w:rFonts w:cs="Arial"/>
        </w:rPr>
        <w:t xml:space="preserve"> plans to have</w:t>
      </w:r>
      <w:r w:rsidR="004319F5">
        <w:rPr>
          <w:rFonts w:cs="Arial"/>
        </w:rPr>
        <w:t xml:space="preserve"> a</w:t>
      </w:r>
      <w:r w:rsidR="00C52285">
        <w:rPr>
          <w:rFonts w:cs="Arial"/>
        </w:rPr>
        <w:t>pproximately</w:t>
      </w:r>
      <w:r w:rsidR="00137546">
        <w:rPr>
          <w:rFonts w:cs="Arial"/>
        </w:rPr>
        <w:t xml:space="preserve"> enough capacity to meet its forecast of </w:t>
      </w:r>
      <w:r w:rsidR="002B0603">
        <w:rPr>
          <w:rFonts w:cs="Arial"/>
        </w:rPr>
        <w:t xml:space="preserve">expected </w:t>
      </w:r>
      <w:r w:rsidR="00137546">
        <w:rPr>
          <w:rFonts w:cs="Arial"/>
        </w:rPr>
        <w:t xml:space="preserve">coincident peak load plus a 12.69% </w:t>
      </w:r>
      <w:r w:rsidR="004319F5">
        <w:rPr>
          <w:rFonts w:cs="Arial"/>
        </w:rPr>
        <w:t xml:space="preserve">long-term planning </w:t>
      </w:r>
      <w:r w:rsidR="00137546">
        <w:rPr>
          <w:rFonts w:cs="Arial"/>
        </w:rPr>
        <w:t>reserve margin.</w:t>
      </w:r>
      <w:r w:rsidR="004319F5">
        <w:rPr>
          <w:rFonts w:cs="Arial"/>
        </w:rPr>
        <w:t xml:space="preserve">  </w:t>
      </w:r>
      <w:proofErr w:type="spellStart"/>
      <w:r w:rsidR="004319F5">
        <w:rPr>
          <w:rFonts w:cs="Arial"/>
        </w:rPr>
        <w:t>ETI’s</w:t>
      </w:r>
      <w:proofErr w:type="spellEnd"/>
      <w:r w:rsidR="004319F5">
        <w:rPr>
          <w:rFonts w:cs="Arial"/>
        </w:rPr>
        <w:t xml:space="preserve"> long-term planning reserve margin is higher than the </w:t>
      </w:r>
      <w:r w:rsidR="003F50C0">
        <w:rPr>
          <w:rFonts w:cs="Arial"/>
        </w:rPr>
        <w:t xml:space="preserve">short-term </w:t>
      </w:r>
      <w:r w:rsidR="00D45651">
        <w:t xml:space="preserve">planning </w:t>
      </w:r>
      <w:r w:rsidR="004319F5">
        <w:rPr>
          <w:rFonts w:cs="Arial"/>
        </w:rPr>
        <w:t>reserve margin</w:t>
      </w:r>
      <w:r w:rsidR="008F2EC3">
        <w:rPr>
          <w:rFonts w:cs="Arial"/>
        </w:rPr>
        <w:t xml:space="preserve"> </w:t>
      </w:r>
      <w:r w:rsidR="004319F5">
        <w:rPr>
          <w:rFonts w:cs="Arial"/>
        </w:rPr>
        <w:t>published by MISO, which is 9.4% for the June 2021-May 2022 delivery year.</w:t>
      </w:r>
    </w:p>
    <w:p w14:paraId="776C4125" w14:textId="77777777" w:rsidR="004319F5" w:rsidRDefault="004319F5" w:rsidP="008A5B2A">
      <w:pPr>
        <w:pStyle w:val="A"/>
        <w:rPr>
          <w:rFonts w:cs="Arial"/>
        </w:rPr>
      </w:pPr>
    </w:p>
    <w:p w14:paraId="0F1DBC55" w14:textId="5821000F" w:rsidR="004319F5" w:rsidRPr="00D61962" w:rsidRDefault="003F50C0" w:rsidP="004319F5">
      <w:pPr>
        <w:pStyle w:val="QUESTION"/>
      </w:pPr>
      <w:r>
        <w:t xml:space="preserve">WHY </w:t>
      </w:r>
      <w:proofErr w:type="gramStart"/>
      <w:r>
        <w:t xml:space="preserve">IS </w:t>
      </w:r>
      <w:proofErr w:type="spellStart"/>
      <w:r>
        <w:t>ETI’S</w:t>
      </w:r>
      <w:proofErr w:type="spellEnd"/>
      <w:r>
        <w:t xml:space="preserve"> LONG-TERM </w:t>
      </w:r>
      <w:r w:rsidR="00D45651">
        <w:t xml:space="preserve">planning </w:t>
      </w:r>
      <w:r>
        <w:t>RESERVE MARGIN HIGHER THAN MISO’S</w:t>
      </w:r>
      <w:proofErr w:type="gramEnd"/>
      <w:r>
        <w:t xml:space="preserve"> SHORT-TERM </w:t>
      </w:r>
      <w:r w:rsidR="00D45651">
        <w:t xml:space="preserve">planning </w:t>
      </w:r>
      <w:r>
        <w:t>RESERVE MARGIN?</w:t>
      </w:r>
    </w:p>
    <w:p w14:paraId="06C07454" w14:textId="59645E7D" w:rsidR="008F2EC3" w:rsidRDefault="004319F5" w:rsidP="007A58AA">
      <w:pPr>
        <w:pStyle w:val="A"/>
        <w:rPr>
          <w:rFonts w:cs="Arial"/>
        </w:rPr>
      </w:pPr>
      <w:r w:rsidRPr="00D61962">
        <w:t>A.</w:t>
      </w:r>
      <w:r w:rsidRPr="00D61962">
        <w:tab/>
      </w:r>
      <w:r w:rsidR="003F50C0">
        <w:rPr>
          <w:rFonts w:cs="Arial"/>
        </w:rPr>
        <w:t xml:space="preserve">Both </w:t>
      </w:r>
      <w:r w:rsidR="00D45651">
        <w:t xml:space="preserve">planning </w:t>
      </w:r>
      <w:r w:rsidR="003F50C0">
        <w:rPr>
          <w:rFonts w:cs="Arial"/>
        </w:rPr>
        <w:t>reserve margins are estimates of the amount of capacity, above and beyond</w:t>
      </w:r>
      <w:r w:rsidR="007A58AA">
        <w:rPr>
          <w:rFonts w:cs="Arial"/>
        </w:rPr>
        <w:t xml:space="preserve"> the forecast of</w:t>
      </w:r>
      <w:r w:rsidR="003F50C0">
        <w:rPr>
          <w:rFonts w:cs="Arial"/>
        </w:rPr>
        <w:t xml:space="preserve"> coincident peak </w:t>
      </w:r>
      <w:proofErr w:type="gramStart"/>
      <w:r w:rsidR="003F50C0">
        <w:rPr>
          <w:rFonts w:cs="Arial"/>
        </w:rPr>
        <w:t>load, that</w:t>
      </w:r>
      <w:proofErr w:type="gramEnd"/>
      <w:r w:rsidR="003F50C0">
        <w:rPr>
          <w:rFonts w:cs="Arial"/>
        </w:rPr>
        <w:t xml:space="preserve"> would be necessary to meet the “1-in-10” standard.  In other words, both </w:t>
      </w:r>
      <w:r w:rsidR="00D45651">
        <w:t xml:space="preserve">planning </w:t>
      </w:r>
      <w:r w:rsidR="003F50C0">
        <w:rPr>
          <w:rFonts w:cs="Arial"/>
        </w:rPr>
        <w:t xml:space="preserve">reserve margins represent the amount of capacity </w:t>
      </w:r>
      <w:r w:rsidR="007A58AA">
        <w:rPr>
          <w:rFonts w:cs="Arial"/>
        </w:rPr>
        <w:t xml:space="preserve">needed to ensure that, on an expected basis, firm load </w:t>
      </w:r>
      <w:r w:rsidR="00784FDD">
        <w:rPr>
          <w:rFonts w:cs="Arial"/>
        </w:rPr>
        <w:t xml:space="preserve">would </w:t>
      </w:r>
      <w:r w:rsidR="007A58AA">
        <w:rPr>
          <w:rFonts w:cs="Arial"/>
        </w:rPr>
        <w:t xml:space="preserve">be curtailed </w:t>
      </w:r>
      <w:r w:rsidR="00784FDD">
        <w:rPr>
          <w:rFonts w:cs="Arial"/>
        </w:rPr>
        <w:t xml:space="preserve">only </w:t>
      </w:r>
      <w:r w:rsidR="00D13093">
        <w:rPr>
          <w:rFonts w:cs="Arial"/>
        </w:rPr>
        <w:t>once every ten years</w:t>
      </w:r>
      <w:r w:rsidR="007A58AA">
        <w:rPr>
          <w:rFonts w:cs="Arial"/>
        </w:rPr>
        <w:t>.</w:t>
      </w:r>
      <w:r w:rsidR="004A5EFF">
        <w:rPr>
          <w:rFonts w:cs="Arial"/>
        </w:rPr>
        <w:t xml:space="preserve">  </w:t>
      </w:r>
    </w:p>
    <w:p w14:paraId="53877DBD" w14:textId="702E42AB" w:rsidR="008F2EC3" w:rsidRDefault="008F2EC3" w:rsidP="00C15FCE">
      <w:pPr>
        <w:pStyle w:val="A2"/>
      </w:pPr>
      <w:r>
        <w:t xml:space="preserve">The </w:t>
      </w:r>
      <w:r w:rsidR="00D45651">
        <w:t xml:space="preserve">planning </w:t>
      </w:r>
      <w:r>
        <w:t>reserve margin</w:t>
      </w:r>
      <w:r w:rsidR="0096497E">
        <w:t xml:space="preserve"> required to meet the 1-in-10 standard</w:t>
      </w:r>
      <w:r>
        <w:t xml:space="preserve"> is a function of uncertainty in t</w:t>
      </w:r>
      <w:r w:rsidR="00561D88">
        <w:t>hree</w:t>
      </w:r>
      <w:r>
        <w:t xml:space="preserve"> variables – generator availability</w:t>
      </w:r>
      <w:r w:rsidR="00561D88">
        <w:t>, weather-driv</w:t>
      </w:r>
      <w:r w:rsidR="00E1133F">
        <w:t>en load levels</w:t>
      </w:r>
      <w:r w:rsidR="00561D88">
        <w:t xml:space="preserve">, </w:t>
      </w:r>
      <w:r w:rsidR="00561D88">
        <w:lastRenderedPageBreak/>
        <w:t>and the weather-normalized load forecast.</w:t>
      </w:r>
      <w:r>
        <w:t xml:space="preserve">  </w:t>
      </w:r>
      <w:r w:rsidR="00DE5A7A">
        <w:t>As illustrated in Figure 5, h</w:t>
      </w:r>
      <w:r>
        <w:t>igher uncertainty</w:t>
      </w:r>
      <w:r w:rsidR="0096497E">
        <w:t xml:space="preserve"> in any of these variables</w:t>
      </w:r>
      <w:r>
        <w:t xml:space="preserve"> </w:t>
      </w:r>
      <w:r w:rsidR="0096497E">
        <w:t xml:space="preserve">would </w:t>
      </w:r>
      <w:r>
        <w:t xml:space="preserve">translate to </w:t>
      </w:r>
      <w:r w:rsidR="00F04D3A">
        <w:t xml:space="preserve">a </w:t>
      </w:r>
      <w:r>
        <w:t xml:space="preserve">higher </w:t>
      </w:r>
      <w:r w:rsidR="00D45651">
        <w:t xml:space="preserve">planning </w:t>
      </w:r>
      <w:r>
        <w:t>reserve margin.</w:t>
      </w:r>
    </w:p>
    <w:p w14:paraId="4B4967B3" w14:textId="77777777" w:rsidR="00997ED3" w:rsidRDefault="00997ED3" w:rsidP="00FD2ED7">
      <w:pPr>
        <w:pStyle w:val="A"/>
        <w:rPr>
          <w:rFonts w:cs="Arial"/>
        </w:rPr>
      </w:pPr>
    </w:p>
    <w:p w14:paraId="433C959E" w14:textId="1BDAB197" w:rsidR="00DE5A7A" w:rsidRPr="00C15FCE" w:rsidRDefault="00DE5A7A" w:rsidP="00997ED3">
      <w:pPr>
        <w:pStyle w:val="Title"/>
        <w:rPr>
          <w:u w:val="single"/>
        </w:rPr>
      </w:pPr>
      <w:r w:rsidRPr="00C15FCE">
        <w:rPr>
          <w:u w:val="single"/>
        </w:rPr>
        <w:t>Figure 5</w:t>
      </w:r>
    </w:p>
    <w:p w14:paraId="563B2E4D" w14:textId="537E3FC0" w:rsidR="00DE5A7A" w:rsidRPr="00262452" w:rsidRDefault="00DE5A7A" w:rsidP="00997ED3">
      <w:pPr>
        <w:keepNext/>
        <w:keepLines/>
        <w:suppressLineNumbers/>
        <w:spacing w:after="240"/>
        <w:jc w:val="center"/>
        <w:rPr>
          <w:b/>
        </w:rPr>
      </w:pPr>
      <w:r w:rsidRPr="00262452">
        <w:rPr>
          <w:b/>
        </w:rPr>
        <w:t>Higher Uncertainty Translates to</w:t>
      </w:r>
      <w:r w:rsidR="0069221C" w:rsidRPr="00262452">
        <w:rPr>
          <w:b/>
        </w:rPr>
        <w:t xml:space="preserve"> a</w:t>
      </w:r>
      <w:r w:rsidRPr="00262452">
        <w:rPr>
          <w:b/>
        </w:rPr>
        <w:t xml:space="preserve"> Higher </w:t>
      </w:r>
      <w:r w:rsidR="00D45651" w:rsidRPr="000D1873">
        <w:rPr>
          <w:b/>
        </w:rPr>
        <w:t xml:space="preserve">Planning </w:t>
      </w:r>
      <w:r w:rsidRPr="00262452">
        <w:rPr>
          <w:b/>
        </w:rPr>
        <w:t>Reserve Margi</w:t>
      </w:r>
      <w:r w:rsidR="00F20915" w:rsidRPr="00262452">
        <w:rPr>
          <w:b/>
        </w:rPr>
        <w:t>n</w:t>
      </w:r>
    </w:p>
    <w:p w14:paraId="74F50149" w14:textId="1EE0D7A3" w:rsidR="00F20915" w:rsidRDefault="00997ED3" w:rsidP="00997ED3">
      <w:pPr>
        <w:pStyle w:val="A"/>
        <w:keepNext/>
        <w:keepLines/>
        <w:suppressLineNumbers/>
        <w:jc w:val="center"/>
        <w:rPr>
          <w:b/>
          <w:bCs/>
        </w:rPr>
      </w:pPr>
      <w:r w:rsidRPr="00997ED3">
        <w:rPr>
          <w:noProof/>
        </w:rPr>
        <w:drawing>
          <wp:inline distT="0" distB="0" distL="0" distR="0" wp14:anchorId="719ED5AA" wp14:editId="13143D86">
            <wp:extent cx="4038600" cy="242899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50168" cy="2435951"/>
                    </a:xfrm>
                    <a:prstGeom prst="rect">
                      <a:avLst/>
                    </a:prstGeom>
                    <a:noFill/>
                    <a:ln>
                      <a:noFill/>
                    </a:ln>
                  </pic:spPr>
                </pic:pic>
              </a:graphicData>
            </a:graphic>
          </wp:inline>
        </w:drawing>
      </w:r>
    </w:p>
    <w:p w14:paraId="2C8FF5E9" w14:textId="77777777" w:rsidR="00F20915" w:rsidRPr="0080498F" w:rsidRDefault="00F20915" w:rsidP="006A626A">
      <w:pPr>
        <w:pStyle w:val="A"/>
        <w:suppressLineNumbers/>
      </w:pPr>
    </w:p>
    <w:p w14:paraId="40A6D415" w14:textId="4417DD6D" w:rsidR="00E1133F" w:rsidRDefault="00DE5A7A" w:rsidP="0080498F">
      <w:pPr>
        <w:pStyle w:val="A2"/>
      </w:pPr>
      <w:proofErr w:type="spellStart"/>
      <w:r>
        <w:t>ETI’s</w:t>
      </w:r>
      <w:proofErr w:type="spellEnd"/>
      <w:r>
        <w:t xml:space="preserve"> long-term </w:t>
      </w:r>
      <w:r w:rsidR="00D45651">
        <w:t xml:space="preserve">planning </w:t>
      </w:r>
      <w:r>
        <w:t xml:space="preserve">reserve margin is higher than </w:t>
      </w:r>
      <w:proofErr w:type="spellStart"/>
      <w:r>
        <w:t>MISO’s</w:t>
      </w:r>
      <w:proofErr w:type="spellEnd"/>
      <w:r>
        <w:t xml:space="preserve"> short-term </w:t>
      </w:r>
      <w:r w:rsidR="00D45651">
        <w:t xml:space="preserve">planning </w:t>
      </w:r>
      <w:r>
        <w:t>reserve margin because</w:t>
      </w:r>
      <w:r w:rsidR="0096497E">
        <w:t xml:space="preserve"> there is more uncertainty </w:t>
      </w:r>
      <w:r w:rsidR="002E36C2">
        <w:t>in the</w:t>
      </w:r>
      <w:r w:rsidR="001B0C31">
        <w:t xml:space="preserve"> third variable – </w:t>
      </w:r>
      <w:r w:rsidR="00784FDD">
        <w:t xml:space="preserve">that is, </w:t>
      </w:r>
      <w:r w:rsidR="001B0C31">
        <w:t xml:space="preserve">the </w:t>
      </w:r>
      <w:r w:rsidR="002E36C2">
        <w:t>long-term</w:t>
      </w:r>
      <w:r w:rsidR="00E1133F">
        <w:t xml:space="preserve"> weather-normalized</w:t>
      </w:r>
      <w:r w:rsidR="002E36C2">
        <w:t xml:space="preserve"> </w:t>
      </w:r>
      <w:r>
        <w:t>load forecast</w:t>
      </w:r>
      <w:r w:rsidR="001B0C31">
        <w:t xml:space="preserve"> is more uncertain than the </w:t>
      </w:r>
      <w:r w:rsidR="002E36C2">
        <w:t>short-term</w:t>
      </w:r>
      <w:r w:rsidR="00E1133F">
        <w:t xml:space="preserve"> weather-normalized</w:t>
      </w:r>
      <w:r w:rsidR="002E36C2">
        <w:t xml:space="preserve"> load forecast</w:t>
      </w:r>
      <w:r>
        <w:t>.</w:t>
      </w:r>
      <w:r w:rsidR="00E1133F">
        <w:t xml:space="preserve">  That there is more uncertainty in the long-term forecast is intuitive – </w:t>
      </w:r>
      <w:r w:rsidR="000B5BBC">
        <w:t>the forecast is more uncertain the further into the future one looks.</w:t>
      </w:r>
    </w:p>
    <w:p w14:paraId="2A7B13E2" w14:textId="20E9C05A" w:rsidR="00DE5A7A" w:rsidRDefault="00EC2967" w:rsidP="0080498F">
      <w:pPr>
        <w:pStyle w:val="A2"/>
      </w:pPr>
      <w:proofErr w:type="spellStart"/>
      <w:r>
        <w:t>MISO’s</w:t>
      </w:r>
      <w:proofErr w:type="spellEnd"/>
      <w:r>
        <w:t xml:space="preserve"> short-term </w:t>
      </w:r>
      <w:r w:rsidR="00D45651">
        <w:t xml:space="preserve">planning </w:t>
      </w:r>
      <w:r>
        <w:t>reserve margin</w:t>
      </w:r>
      <w:r w:rsidR="00784FDD">
        <w:t>, on the other hand,</w:t>
      </w:r>
      <w:r>
        <w:t xml:space="preserve"> represents the amount of capacity that must be in-service during the upcoming delivery year, and it therefore reflects the relatively small amount of uncertainty that exists in the </w:t>
      </w:r>
      <w:r w:rsidR="001B0C31">
        <w:t>one-</w:t>
      </w:r>
      <w:r>
        <w:t>year-ahead forecast.  In contrast, i</w:t>
      </w:r>
      <w:r w:rsidR="002E36C2">
        <w:t xml:space="preserve">t takes approximately four years between when a new resource is proposed and when </w:t>
      </w:r>
      <w:r w:rsidR="00FD2ED7">
        <w:t>it</w:t>
      </w:r>
      <w:r w:rsidR="002E36C2">
        <w:t xml:space="preserve"> comes online</w:t>
      </w:r>
      <w:r w:rsidR="00FD2ED7">
        <w:t xml:space="preserve">, so </w:t>
      </w:r>
      <w:proofErr w:type="spellStart"/>
      <w:r w:rsidR="00C52285">
        <w:t>ETI’s</w:t>
      </w:r>
      <w:proofErr w:type="spellEnd"/>
      <w:r w:rsidR="00C52285">
        <w:t xml:space="preserve"> long-term</w:t>
      </w:r>
      <w:r w:rsidR="00FD2ED7">
        <w:t xml:space="preserve"> </w:t>
      </w:r>
      <w:r w:rsidR="00D45651">
        <w:t xml:space="preserve">planning </w:t>
      </w:r>
      <w:r w:rsidR="00FD2ED7">
        <w:t xml:space="preserve">reserve </w:t>
      </w:r>
      <w:r w:rsidR="00FD2ED7">
        <w:lastRenderedPageBreak/>
        <w:t>margin</w:t>
      </w:r>
      <w:r w:rsidR="001C07D0">
        <w:t>, which reflects the amount that must be planned to maintain resource adequacy,</w:t>
      </w:r>
      <w:r w:rsidR="00FD2ED7">
        <w:t xml:space="preserve"> </w:t>
      </w:r>
      <w:r w:rsidR="00C52285">
        <w:t>reflects the relatively large amount of uncertainty that exists in the four-year-ahead forecast.</w:t>
      </w:r>
      <w:r w:rsidR="00FE0836">
        <w:rPr>
          <w:rStyle w:val="FootnoteReference"/>
        </w:rPr>
        <w:footnoteReference w:id="16"/>
      </w:r>
      <w:r w:rsidR="00A97D4F">
        <w:t xml:space="preserve">  Thus, the two </w:t>
      </w:r>
      <w:r w:rsidR="00D45651">
        <w:t xml:space="preserve">planning </w:t>
      </w:r>
      <w:r w:rsidR="00A97D4F">
        <w:t xml:space="preserve">reserve margins are </w:t>
      </w:r>
      <w:r w:rsidR="002738CC">
        <w:t>conceptually consistent and aligned.</w:t>
      </w:r>
    </w:p>
    <w:p w14:paraId="085C280F" w14:textId="77985829" w:rsidR="00DE5A7A" w:rsidRDefault="00DE5A7A" w:rsidP="007A58AA">
      <w:pPr>
        <w:pStyle w:val="A"/>
      </w:pPr>
      <w:r>
        <w:t xml:space="preserve"> </w:t>
      </w:r>
    </w:p>
    <w:p w14:paraId="46EF45A9" w14:textId="7A441B36" w:rsidR="00237300" w:rsidRPr="00D61962" w:rsidRDefault="00237300" w:rsidP="00237300">
      <w:pPr>
        <w:pStyle w:val="QUESTION"/>
      </w:pPr>
      <w:r>
        <w:t>DOES this conclude your direct testimony?</w:t>
      </w:r>
    </w:p>
    <w:p w14:paraId="103EFAC1" w14:textId="65A23913" w:rsidR="008A5B2A" w:rsidRDefault="00237300" w:rsidP="00237300">
      <w:pPr>
        <w:pStyle w:val="A"/>
      </w:pPr>
      <w:r w:rsidRPr="00D61962">
        <w:t>A.</w:t>
      </w:r>
      <w:r w:rsidRPr="00D61962">
        <w:tab/>
      </w:r>
      <w:r>
        <w:rPr>
          <w:rFonts w:cs="Arial"/>
        </w:rPr>
        <w:t>Yes, at this time.</w:t>
      </w:r>
    </w:p>
    <w:sectPr w:rsidR="008A5B2A" w:rsidSect="003A66EA">
      <w:footerReference w:type="default" r:id="rId21"/>
      <w:pgSz w:w="12240" w:h="15840" w:code="1"/>
      <w:pgMar w:top="1440" w:right="1440" w:bottom="1440" w:left="1440" w:header="720" w:footer="720" w:gutter="360"/>
      <w:lnNumType w:countBy="1"/>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178F47" w14:textId="77777777" w:rsidR="00E54C5C" w:rsidRDefault="00E54C5C">
      <w:r>
        <w:separator/>
      </w:r>
    </w:p>
  </w:endnote>
  <w:endnote w:type="continuationSeparator" w:id="0">
    <w:p w14:paraId="114808C9" w14:textId="77777777" w:rsidR="00E54C5C" w:rsidRDefault="00E54C5C">
      <w:r>
        <w:continuationSeparator/>
      </w:r>
    </w:p>
  </w:endnote>
  <w:endnote w:type="continuationNotice" w:id="1">
    <w:p w14:paraId="0D7B5E5D" w14:textId="77777777" w:rsidR="00E54C5C" w:rsidRDefault="00E54C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3851A" w14:textId="77777777" w:rsidR="00174EC1" w:rsidRDefault="00174E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88810" w14:textId="77777777" w:rsidR="00DE7600" w:rsidRDefault="00DE7600">
    <w:pPr>
      <w:pStyle w:val="Footer"/>
      <w:jc w:val="center"/>
    </w:pPr>
    <w:r>
      <w:fldChar w:fldCharType="begin"/>
    </w:r>
    <w:r>
      <w:instrText xml:space="preserve"> PAGE   \* MERGEFORMAT </w:instrText>
    </w:r>
    <w:r>
      <w:fldChar w:fldCharType="separate"/>
    </w:r>
    <w:r>
      <w:rPr>
        <w:noProof/>
      </w:rPr>
      <w:t>ii</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91150" w14:textId="5C6F78F9" w:rsidR="00DE7600" w:rsidRPr="000F6564" w:rsidRDefault="00DE7600" w:rsidP="00C31C02">
    <w:pPr>
      <w:pStyle w:val="Footer"/>
      <w:jc w:val="center"/>
      <w:rPr>
        <w:color w:val="FF0000"/>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B985E" w14:textId="77777777" w:rsidR="00DE7600" w:rsidRDefault="00DE760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D59DB" w14:textId="6D0FFC52" w:rsidR="00DE7600" w:rsidRPr="00C31C02" w:rsidRDefault="00DE7600" w:rsidP="00C31C02">
    <w:pPr>
      <w:pStyle w:val="Footer"/>
      <w:jc w:val="center"/>
      <w:rPr>
        <w:color w:val="FF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D5AE6" w14:textId="77777777" w:rsidR="00E54C5C" w:rsidRDefault="00E54C5C">
      <w:r>
        <w:separator/>
      </w:r>
    </w:p>
  </w:footnote>
  <w:footnote w:type="continuationSeparator" w:id="0">
    <w:p w14:paraId="1EE65E31" w14:textId="77777777" w:rsidR="00E54C5C" w:rsidRDefault="00E54C5C">
      <w:r>
        <w:continuationSeparator/>
      </w:r>
    </w:p>
  </w:footnote>
  <w:footnote w:type="continuationNotice" w:id="1">
    <w:p w14:paraId="647514E2" w14:textId="77777777" w:rsidR="00E54C5C" w:rsidRDefault="00E54C5C"/>
  </w:footnote>
  <w:footnote w:id="2">
    <w:p w14:paraId="02418BEE" w14:textId="69E79920" w:rsidR="005A3ED0" w:rsidRDefault="005A3ED0">
      <w:pPr>
        <w:pStyle w:val="FootnoteText"/>
      </w:pPr>
      <w:r>
        <w:rPr>
          <w:rStyle w:val="FootnoteReference"/>
        </w:rPr>
        <w:footnoteRef/>
      </w:r>
      <w:r>
        <w:t xml:space="preserve"> </w:t>
      </w:r>
      <w:r>
        <w:tab/>
        <w:t xml:space="preserve">If </w:t>
      </w:r>
      <w:proofErr w:type="spellStart"/>
      <w:r>
        <w:t>ETI</w:t>
      </w:r>
      <w:proofErr w:type="spellEnd"/>
      <w:r>
        <w:t xml:space="preserve"> were to deactivate Sabine Units 1, 3, and 4, which units would be 64, 60, and 52 years old in 2026, and rely on the PRA to replace that capacity rather than build OCAPS, </w:t>
      </w:r>
      <w:proofErr w:type="spellStart"/>
      <w:r w:rsidR="009C26B3">
        <w:t>ETI</w:t>
      </w:r>
      <w:proofErr w:type="spellEnd"/>
      <w:r w:rsidR="009C26B3">
        <w:t xml:space="preserve"> estimates that </w:t>
      </w:r>
      <w:r>
        <w:t>its projected net short position for capacity and energy would be</w:t>
      </w:r>
      <w:r w:rsidR="009C26B3" w:rsidRPr="009C26B3">
        <w:t xml:space="preserve"> </w:t>
      </w:r>
      <w:r w:rsidR="009C26B3">
        <w:t xml:space="preserve">approximately </w:t>
      </w:r>
      <w:r w:rsidR="009C26B3" w:rsidRPr="00FC7EE8">
        <w:t>25%</w:t>
      </w:r>
      <w:r>
        <w:t xml:space="preserve"> and </w:t>
      </w:r>
      <w:r w:rsidR="009C26B3" w:rsidRPr="009C26B3">
        <w:t>40</w:t>
      </w:r>
      <w:r w:rsidRPr="001774B2">
        <w:t>%</w:t>
      </w:r>
      <w:r>
        <w:t>, respectively.</w:t>
      </w:r>
    </w:p>
  </w:footnote>
  <w:footnote w:id="3">
    <w:p w14:paraId="6595F8FD" w14:textId="47F6968D" w:rsidR="006871FE" w:rsidRDefault="006871FE">
      <w:pPr>
        <w:pStyle w:val="FootnoteText"/>
      </w:pPr>
      <w:r>
        <w:rPr>
          <w:rStyle w:val="FootnoteReference"/>
        </w:rPr>
        <w:footnoteRef/>
      </w:r>
      <w:r>
        <w:t xml:space="preserve"> </w:t>
      </w:r>
      <w:r w:rsidR="00937AE7">
        <w:tab/>
      </w:r>
      <w:r w:rsidR="001A4FF9">
        <w:t xml:space="preserve">Testimony of Dr. Samuel A. Newell, Dr. Kathleen </w:t>
      </w:r>
      <w:proofErr w:type="spellStart"/>
      <w:r w:rsidR="001A4FF9">
        <w:t>Spees</w:t>
      </w:r>
      <w:proofErr w:type="spellEnd"/>
      <w:r w:rsidR="001A4FF9">
        <w:t>, and Dr. David Luke Oates on Behalf of the Midcontinent Independent System Operator Regarding the Competitive Retail Solution</w:t>
      </w:r>
      <w:r w:rsidR="00534D46">
        <w:t xml:space="preserve"> at 4</w:t>
      </w:r>
      <w:r w:rsidR="001A4FF9">
        <w:t xml:space="preserve">, </w:t>
      </w:r>
      <w:r w:rsidR="00937AE7">
        <w:t>FERC Docket No</w:t>
      </w:r>
      <w:proofErr w:type="gramStart"/>
      <w:r w:rsidR="00937AE7">
        <w:t>.</w:t>
      </w:r>
      <w:r w:rsidR="0093330F">
        <w:t> </w:t>
      </w:r>
      <w:proofErr w:type="spellStart"/>
      <w:proofErr w:type="gramEnd"/>
      <w:r w:rsidR="00937AE7">
        <w:t>ER17</w:t>
      </w:r>
      <w:proofErr w:type="spellEnd"/>
      <w:r w:rsidR="00937AE7">
        <w:t xml:space="preserve">-284 </w:t>
      </w:r>
      <w:r w:rsidR="00534D46">
        <w:t xml:space="preserve">(filed </w:t>
      </w:r>
      <w:r w:rsidR="00910332">
        <w:t>Nov. 1, 2016</w:t>
      </w:r>
      <w:r w:rsidR="00534D46">
        <w:t>)</w:t>
      </w:r>
      <w:r w:rsidR="00937AE7">
        <w:t>.</w:t>
      </w:r>
    </w:p>
  </w:footnote>
  <w:footnote w:id="4">
    <w:p w14:paraId="19CB1436" w14:textId="6EE93BBA" w:rsidR="001B2BF6" w:rsidRPr="001B2BF6" w:rsidRDefault="001B2BF6" w:rsidP="001B2BF6">
      <w:pPr>
        <w:pStyle w:val="FootnoteText"/>
        <w:rPr>
          <w:i/>
          <w:iCs/>
        </w:rPr>
      </w:pPr>
      <w:r>
        <w:rPr>
          <w:rStyle w:val="FootnoteReference"/>
        </w:rPr>
        <w:footnoteRef/>
      </w:r>
      <w:r>
        <w:t xml:space="preserve"> </w:t>
      </w:r>
      <w:r>
        <w:tab/>
      </w:r>
      <w:r>
        <w:rPr>
          <w:i/>
          <w:iCs/>
        </w:rPr>
        <w:t>Id</w:t>
      </w:r>
      <w:r w:rsidR="000B13F1">
        <w:rPr>
          <w:i/>
          <w:iCs/>
        </w:rPr>
        <w:t>.</w:t>
      </w:r>
      <w:r w:rsidRPr="001B2BF6">
        <w:t xml:space="preserve"> at </w:t>
      </w:r>
      <w:r>
        <w:t>11</w:t>
      </w:r>
      <w:r w:rsidRPr="001B2BF6">
        <w:t>.</w:t>
      </w:r>
    </w:p>
  </w:footnote>
  <w:footnote w:id="5">
    <w:p w14:paraId="37C18991" w14:textId="4869A4CA" w:rsidR="00A464B6" w:rsidRDefault="00A464B6" w:rsidP="00A464B6">
      <w:pPr>
        <w:pStyle w:val="FootnoteText"/>
      </w:pPr>
      <w:r>
        <w:rPr>
          <w:rStyle w:val="FootnoteReference"/>
        </w:rPr>
        <w:footnoteRef/>
      </w:r>
      <w:r>
        <w:t xml:space="preserve"> </w:t>
      </w:r>
      <w:r>
        <w:tab/>
        <w:t>“The vast majority of MISO States do not depend solely on market price signals for generation resource investment.  Traditionally-regulated States have successfully ensured, through integrated resource planning, that their load serving entities</w:t>
      </w:r>
      <w:r w:rsidR="008B3B95">
        <w:t xml:space="preserve"> (“LSEs”)</w:t>
      </w:r>
      <w:r>
        <w:t xml:space="preserve"> have sufficient capacity to meet load obligations.  To the extent additional capacity is necessary, LSEs subject to state supervision and authority have a clearly defined process for building new generation and investing in existing generation resources.  Consequently, no changes to the current PRA construct are warranted for States that regulate utilities on a traditional basis.”  MISO Transmittal Letter for Competitive Retail Solution Filing</w:t>
      </w:r>
      <w:r w:rsidR="00D550BC">
        <w:t xml:space="preserve"> at 4-5</w:t>
      </w:r>
      <w:r>
        <w:t xml:space="preserve">, </w:t>
      </w:r>
      <w:r w:rsidR="00D550BC">
        <w:t>FERC Docket No</w:t>
      </w:r>
      <w:proofErr w:type="gramStart"/>
      <w:r w:rsidR="00D550BC">
        <w:t xml:space="preserve">. </w:t>
      </w:r>
      <w:proofErr w:type="spellStart"/>
      <w:proofErr w:type="gramEnd"/>
      <w:r w:rsidR="00D550BC">
        <w:t>ER17</w:t>
      </w:r>
      <w:proofErr w:type="spellEnd"/>
      <w:r w:rsidR="00D550BC">
        <w:t xml:space="preserve">-284 </w:t>
      </w:r>
      <w:r w:rsidR="004B5132">
        <w:t>(</w:t>
      </w:r>
      <w:r w:rsidR="00D550BC">
        <w:t xml:space="preserve">filed </w:t>
      </w:r>
      <w:r w:rsidR="004B5132">
        <w:t>Nov. 1, 2016)</w:t>
      </w:r>
      <w:r w:rsidR="00D550BC">
        <w:t>.</w:t>
      </w:r>
    </w:p>
  </w:footnote>
  <w:footnote w:id="6">
    <w:p w14:paraId="16C761E9" w14:textId="2F254DF0" w:rsidR="00A464B6" w:rsidRDefault="00A464B6" w:rsidP="00A464B6">
      <w:pPr>
        <w:pStyle w:val="FootnoteText"/>
      </w:pPr>
      <w:r>
        <w:rPr>
          <w:rStyle w:val="FootnoteReference"/>
        </w:rPr>
        <w:footnoteRef/>
      </w:r>
      <w:r>
        <w:t xml:space="preserve"> </w:t>
      </w:r>
      <w:r>
        <w:tab/>
        <w:t xml:space="preserve">“As an initial matter, we note that many of the arguments raised on rehearing seek to impose on MISO the rules and requirements used in the centralized capacity markets in the Eastern </w:t>
      </w:r>
      <w:r w:rsidR="008B3B95">
        <w:t>Regional Transmission Organizations (</w:t>
      </w:r>
      <w:r w:rsidR="006A626A">
        <w:t>“</w:t>
      </w:r>
      <w:proofErr w:type="spellStart"/>
      <w:r>
        <w:t>RTO</w:t>
      </w:r>
      <w:proofErr w:type="spellEnd"/>
      <w:r w:rsidR="006A626A">
        <w:t>”</w:t>
      </w:r>
      <w:r w:rsidR="008B3B95">
        <w:t>)</w:t>
      </w:r>
      <w:r>
        <w:t>/</w:t>
      </w:r>
      <w:r w:rsidR="008B3B95">
        <w:t>Independent System Operators (</w:t>
      </w:r>
      <w:r w:rsidR="006A626A">
        <w:t>“</w:t>
      </w:r>
      <w:r>
        <w:t>ISO</w:t>
      </w:r>
      <w:r w:rsidR="006A626A">
        <w:t>”</w:t>
      </w:r>
      <w:r w:rsidR="008B3B95">
        <w:t>)</w:t>
      </w:r>
      <w:r>
        <w:t xml:space="preserve">.  As discussed below, we reject those arguments, recognizing the regional differences between MISO and those </w:t>
      </w:r>
      <w:proofErr w:type="spellStart"/>
      <w:r>
        <w:t>RTOs</w:t>
      </w:r>
      <w:proofErr w:type="spellEnd"/>
      <w:r>
        <w:t xml:space="preserve">/ISOs… unlike the centralized capacity constructs used in the Eastern </w:t>
      </w:r>
      <w:proofErr w:type="spellStart"/>
      <w:r>
        <w:t>RTOs</w:t>
      </w:r>
      <w:proofErr w:type="spellEnd"/>
      <w:r>
        <w:t xml:space="preserve">/ISOs, </w:t>
      </w:r>
      <w:proofErr w:type="spellStart"/>
      <w:r>
        <w:t>MISO’s</w:t>
      </w:r>
      <w:proofErr w:type="spellEnd"/>
      <w:r>
        <w:t xml:space="preserve"> Auction is not – </w:t>
      </w:r>
      <w:r w:rsidRPr="009E70F9">
        <w:rPr>
          <w:i/>
          <w:iCs/>
        </w:rPr>
        <w:t>and has never been</w:t>
      </w:r>
      <w:r>
        <w:t xml:space="preserve"> – the primary mechanism for its LSEs to procure capacity.”  Order Denying Rehearing</w:t>
      </w:r>
      <w:r w:rsidR="00D550BC">
        <w:t xml:space="preserve"> at P 13</w:t>
      </w:r>
      <w:r>
        <w:t>, FERC Docket No</w:t>
      </w:r>
      <w:proofErr w:type="gramStart"/>
      <w:r>
        <w:t>.</w:t>
      </w:r>
      <w:r w:rsidR="006A626A">
        <w:t> </w:t>
      </w:r>
      <w:proofErr w:type="spellStart"/>
      <w:proofErr w:type="gramEnd"/>
      <w:r>
        <w:t>ER18</w:t>
      </w:r>
      <w:proofErr w:type="spellEnd"/>
      <w:r w:rsidR="006A626A">
        <w:noBreakHyphen/>
      </w:r>
      <w:r>
        <w:t xml:space="preserve">462-001, </w:t>
      </w:r>
      <w:r w:rsidR="004B5132">
        <w:t>(</w:t>
      </w:r>
      <w:r w:rsidR="00D550BC">
        <w:t xml:space="preserve">filed </w:t>
      </w:r>
      <w:r w:rsidR="004B5132">
        <w:t xml:space="preserve">Mar. </w:t>
      </w:r>
      <w:r w:rsidR="0024001C">
        <w:t>20, 2020)</w:t>
      </w:r>
      <w:r w:rsidR="009E70F9">
        <w:t xml:space="preserve"> (citations omitted, emphasis in original)</w:t>
      </w:r>
      <w:r w:rsidR="00D550BC">
        <w:t>.</w:t>
      </w:r>
    </w:p>
  </w:footnote>
  <w:footnote w:id="7">
    <w:p w14:paraId="7BBC3356" w14:textId="45D0656A" w:rsidR="00E9004F" w:rsidRDefault="00E9004F" w:rsidP="00E9004F">
      <w:pPr>
        <w:pStyle w:val="FootnoteText"/>
      </w:pPr>
      <w:r>
        <w:rPr>
          <w:rStyle w:val="FootnoteReference"/>
        </w:rPr>
        <w:footnoteRef/>
      </w:r>
      <w:r>
        <w:t xml:space="preserve"> </w:t>
      </w:r>
      <w:r>
        <w:tab/>
        <w:t xml:space="preserve">“A fundamental assumption of the RA construct is that all LSEs are appropriately planning long-term.”  </w:t>
      </w:r>
      <w:r w:rsidRPr="00046CF4">
        <w:rPr>
          <w:i/>
          <w:iCs/>
        </w:rPr>
        <w:t>RAN Reliability Requirements and Sub-</w:t>
      </w:r>
      <w:r>
        <w:rPr>
          <w:i/>
          <w:iCs/>
        </w:rPr>
        <w:t>A</w:t>
      </w:r>
      <w:r w:rsidRPr="00046CF4">
        <w:rPr>
          <w:i/>
          <w:iCs/>
        </w:rPr>
        <w:t xml:space="preserve">nnual </w:t>
      </w:r>
      <w:r>
        <w:rPr>
          <w:i/>
          <w:iCs/>
        </w:rPr>
        <w:t>Co</w:t>
      </w:r>
      <w:r w:rsidRPr="00046CF4">
        <w:rPr>
          <w:i/>
          <w:iCs/>
        </w:rPr>
        <w:t>nstruct</w:t>
      </w:r>
      <w:r>
        <w:t>, a presentation by MISO to the Resource Adequacy Subcommittee</w:t>
      </w:r>
      <w:r w:rsidR="00D550BC">
        <w:t xml:space="preserve"> at 26</w:t>
      </w:r>
      <w:r>
        <w:t xml:space="preserve"> </w:t>
      </w:r>
      <w:r w:rsidR="0024001C">
        <w:t>(Mar. 10, 2021)</w:t>
      </w:r>
      <w:r>
        <w:t>.</w:t>
      </w:r>
    </w:p>
  </w:footnote>
  <w:footnote w:id="8">
    <w:p w14:paraId="222025F3" w14:textId="0D5DBC29" w:rsidR="00E9004F" w:rsidRDefault="00E9004F" w:rsidP="00E9004F">
      <w:pPr>
        <w:pStyle w:val="FootnoteText"/>
      </w:pPr>
      <w:r>
        <w:rPr>
          <w:rStyle w:val="FootnoteReference"/>
        </w:rPr>
        <w:footnoteRef/>
      </w:r>
      <w:r>
        <w:t xml:space="preserve"> </w:t>
      </w:r>
      <w:r>
        <w:tab/>
        <w:t xml:space="preserve">“The majority of States representing 90 percent of load in the footprint operate under a traditional regulatory structure.  In these areas, Load Serving Entities (“LSEs”), with oversight by State regulatory authorities, bear responsibility for ensuring resource adequacy.”  Prepared Direct Testimony of Richard </w:t>
      </w:r>
      <w:proofErr w:type="spellStart"/>
      <w:r>
        <w:t>Doying</w:t>
      </w:r>
      <w:proofErr w:type="spellEnd"/>
      <w:r>
        <w:t xml:space="preserve"> on behalf of MISO</w:t>
      </w:r>
      <w:r w:rsidR="00D550BC">
        <w:t xml:space="preserve"> at 3</w:t>
      </w:r>
      <w:r>
        <w:t>, FERC Docket No</w:t>
      </w:r>
      <w:proofErr w:type="gramStart"/>
      <w:r>
        <w:t xml:space="preserve">. </w:t>
      </w:r>
      <w:proofErr w:type="spellStart"/>
      <w:proofErr w:type="gramEnd"/>
      <w:r>
        <w:t>ER17</w:t>
      </w:r>
      <w:proofErr w:type="spellEnd"/>
      <w:r>
        <w:t xml:space="preserve">-284 </w:t>
      </w:r>
      <w:r w:rsidR="0024001C">
        <w:t>(</w:t>
      </w:r>
      <w:r w:rsidR="00D550BC">
        <w:t xml:space="preserve">filed </w:t>
      </w:r>
      <w:r w:rsidR="0024001C">
        <w:t>Nov. 1, 2016)</w:t>
      </w:r>
      <w:r w:rsidR="00D550BC">
        <w:t>.</w:t>
      </w:r>
    </w:p>
  </w:footnote>
  <w:footnote w:id="9">
    <w:p w14:paraId="3F3E6AC6" w14:textId="17A793BC" w:rsidR="00DE34DC" w:rsidRDefault="00DE34DC">
      <w:pPr>
        <w:pStyle w:val="FootnoteText"/>
      </w:pPr>
      <w:r>
        <w:rPr>
          <w:rStyle w:val="FootnoteReference"/>
        </w:rPr>
        <w:footnoteRef/>
      </w:r>
      <w:r>
        <w:tab/>
        <w:t xml:space="preserve">“The capacity auction is designed to balance the market, not be a primary source of capacity while sending new build price signals.”  </w:t>
      </w:r>
      <w:r w:rsidRPr="00046CF4">
        <w:rPr>
          <w:i/>
          <w:iCs/>
        </w:rPr>
        <w:t>RAN Reliability Requirements and Sub-</w:t>
      </w:r>
      <w:r>
        <w:rPr>
          <w:i/>
          <w:iCs/>
        </w:rPr>
        <w:t>A</w:t>
      </w:r>
      <w:r w:rsidRPr="00046CF4">
        <w:rPr>
          <w:i/>
          <w:iCs/>
        </w:rPr>
        <w:t xml:space="preserve">nnual </w:t>
      </w:r>
      <w:r>
        <w:rPr>
          <w:i/>
          <w:iCs/>
        </w:rPr>
        <w:t>Co</w:t>
      </w:r>
      <w:r w:rsidRPr="00046CF4">
        <w:rPr>
          <w:i/>
          <w:iCs/>
        </w:rPr>
        <w:t>nstruct</w:t>
      </w:r>
      <w:r>
        <w:t>, a presentation by MISO to the Resource Adequacy Subcommittee</w:t>
      </w:r>
      <w:r w:rsidR="009E70F9">
        <w:t xml:space="preserve"> at 13</w:t>
      </w:r>
      <w:r>
        <w:t xml:space="preserve"> </w:t>
      </w:r>
      <w:r w:rsidR="00BA39A0">
        <w:t>(May 12, 2021)</w:t>
      </w:r>
      <w:r w:rsidR="009E70F9">
        <w:t>.</w:t>
      </w:r>
    </w:p>
  </w:footnote>
  <w:footnote w:id="10">
    <w:p w14:paraId="75031DE3" w14:textId="77777777" w:rsidR="00A464B6" w:rsidRDefault="00A464B6" w:rsidP="00A464B6">
      <w:pPr>
        <w:pStyle w:val="FootnoteText"/>
      </w:pPr>
      <w:r>
        <w:rPr>
          <w:rStyle w:val="FootnoteReference"/>
        </w:rPr>
        <w:footnoteRef/>
      </w:r>
      <w:r>
        <w:t xml:space="preserve"> </w:t>
      </w:r>
      <w:r>
        <w:tab/>
      </w:r>
      <w:proofErr w:type="spellStart"/>
      <w:r>
        <w:t>SPP</w:t>
      </w:r>
      <w:proofErr w:type="spellEnd"/>
      <w:r>
        <w:t xml:space="preserve"> Open Access Transmission Tariff, Attachment AA.  </w:t>
      </w:r>
    </w:p>
  </w:footnote>
  <w:footnote w:id="11">
    <w:p w14:paraId="21147FC5" w14:textId="08AAA65C" w:rsidR="00A464B6" w:rsidRDefault="00A464B6" w:rsidP="00A464B6">
      <w:pPr>
        <w:pStyle w:val="FootnoteText"/>
      </w:pPr>
      <w:r>
        <w:rPr>
          <w:rStyle w:val="FootnoteReference"/>
        </w:rPr>
        <w:footnoteRef/>
      </w:r>
      <w:r>
        <w:t xml:space="preserve"> </w:t>
      </w:r>
      <w:r>
        <w:tab/>
      </w:r>
      <w:r w:rsidR="00E57D4E">
        <w:t xml:space="preserve">2021 </w:t>
      </w:r>
      <w:proofErr w:type="spellStart"/>
      <w:r>
        <w:t>SPP</w:t>
      </w:r>
      <w:proofErr w:type="spellEnd"/>
      <w:r>
        <w:t xml:space="preserve"> Resource Adequacy Report</w:t>
      </w:r>
      <w:r w:rsidR="00CE5CA7">
        <w:t xml:space="preserve"> at 5</w:t>
      </w:r>
      <w:r>
        <w:t xml:space="preserve"> </w:t>
      </w:r>
      <w:r w:rsidR="00804944">
        <w:t>(Jun</w:t>
      </w:r>
      <w:r w:rsidR="00BC13B2">
        <w:t>e</w:t>
      </w:r>
      <w:r w:rsidR="00804944">
        <w:t xml:space="preserve"> 15, 2021)</w:t>
      </w:r>
      <w:r>
        <w:t>.</w:t>
      </w:r>
    </w:p>
  </w:footnote>
  <w:footnote w:id="12">
    <w:p w14:paraId="76EA8C07" w14:textId="1A6B1CBF" w:rsidR="003A6707" w:rsidRPr="00136872" w:rsidRDefault="003A6707" w:rsidP="003A6707">
      <w:pPr>
        <w:pStyle w:val="FootnoteText"/>
      </w:pPr>
      <w:r>
        <w:rPr>
          <w:rStyle w:val="FootnoteReference"/>
        </w:rPr>
        <w:footnoteRef/>
      </w:r>
      <w:r>
        <w:t xml:space="preserve"> </w:t>
      </w:r>
      <w:r w:rsidR="00C320C8">
        <w:tab/>
      </w:r>
      <w:r>
        <w:t xml:space="preserve">See note 6, </w:t>
      </w:r>
      <w:r w:rsidRPr="008D554C">
        <w:rPr>
          <w:i/>
          <w:iCs/>
        </w:rPr>
        <w:t>supra</w:t>
      </w:r>
      <w:r>
        <w:t>.</w:t>
      </w:r>
    </w:p>
  </w:footnote>
  <w:footnote w:id="13">
    <w:p w14:paraId="312491BF" w14:textId="49FEAE18" w:rsidR="003C3575" w:rsidRDefault="003C3575">
      <w:pPr>
        <w:pStyle w:val="FootnoteText"/>
      </w:pPr>
      <w:r>
        <w:rPr>
          <w:rStyle w:val="FootnoteReference"/>
        </w:rPr>
        <w:footnoteRef/>
      </w:r>
      <w:r>
        <w:t xml:space="preserve"> </w:t>
      </w:r>
      <w:r>
        <w:tab/>
      </w:r>
      <w:r>
        <w:rPr>
          <w:i/>
          <w:iCs/>
        </w:rPr>
        <w:t>Resource Adequacy Reforms</w:t>
      </w:r>
      <w:r>
        <w:t>, a presentation by MISO to the Resource Adequacy Subcommittee at 30-33 (</w:t>
      </w:r>
      <w:r w:rsidR="002053B8">
        <w:t>Aug.</w:t>
      </w:r>
      <w:r>
        <w:t xml:space="preserve"> </w:t>
      </w:r>
      <w:r w:rsidR="002053B8">
        <w:t>4</w:t>
      </w:r>
      <w:r>
        <w:t>, 2021).</w:t>
      </w:r>
    </w:p>
  </w:footnote>
  <w:footnote w:id="14">
    <w:p w14:paraId="3C996653" w14:textId="7D81DB54" w:rsidR="0039522E" w:rsidRDefault="0039522E">
      <w:pPr>
        <w:pStyle w:val="FootnoteText"/>
      </w:pPr>
      <w:r>
        <w:rPr>
          <w:rStyle w:val="FootnoteReference"/>
        </w:rPr>
        <w:footnoteRef/>
      </w:r>
      <w:r>
        <w:t xml:space="preserve"> </w:t>
      </w:r>
      <w:r>
        <w:tab/>
      </w:r>
      <w:r w:rsidR="00586839">
        <w:t xml:space="preserve">“MISO recognizes that participation in the PRA is not a substitute for long-term resource planning, a primary responsibility held by LSEs with applicable state jurisdictional oversight.  In MISO, LSEs must demonstrate resource adequacy and the </w:t>
      </w:r>
      <w:proofErr w:type="spellStart"/>
      <w:r w:rsidR="00586839">
        <w:t>MCR</w:t>
      </w:r>
      <w:proofErr w:type="spellEnd"/>
      <w:r w:rsidR="00586839">
        <w:t xml:space="preserve"> would be an additional step in that demonstration.”  </w:t>
      </w:r>
      <w:r w:rsidR="0029352D">
        <w:rPr>
          <w:i/>
          <w:iCs/>
        </w:rPr>
        <w:t>Resource Adequacy Reforms</w:t>
      </w:r>
      <w:r w:rsidR="0029352D">
        <w:t>, a presentation by MISO to the Resource Adequacy Subcommittee</w:t>
      </w:r>
      <w:r w:rsidR="002053B8">
        <w:t xml:space="preserve"> at 9</w:t>
      </w:r>
      <w:r w:rsidR="0029352D">
        <w:t xml:space="preserve"> (Ju</w:t>
      </w:r>
      <w:r w:rsidR="00586839">
        <w:t>n</w:t>
      </w:r>
      <w:r w:rsidR="002053B8">
        <w:t>e</w:t>
      </w:r>
      <w:r w:rsidR="0029352D">
        <w:t xml:space="preserve"> </w:t>
      </w:r>
      <w:r w:rsidR="00586839">
        <w:t>9</w:t>
      </w:r>
      <w:r w:rsidR="0029352D">
        <w:t>, 2021)</w:t>
      </w:r>
      <w:r w:rsidR="002053B8">
        <w:t>.</w:t>
      </w:r>
    </w:p>
  </w:footnote>
  <w:footnote w:id="15">
    <w:p w14:paraId="4444AD30" w14:textId="0917734E" w:rsidR="00AC2030" w:rsidRDefault="00AC2030" w:rsidP="00AC2030">
      <w:pPr>
        <w:pStyle w:val="FootnoteText"/>
      </w:pPr>
      <w:r>
        <w:rPr>
          <w:rStyle w:val="FootnoteReference"/>
        </w:rPr>
        <w:footnoteRef/>
      </w:r>
      <w:r>
        <w:t xml:space="preserve"> </w:t>
      </w:r>
      <w:r>
        <w:tab/>
      </w:r>
      <w:r w:rsidR="00F45A6E">
        <w:t xml:space="preserve">The </w:t>
      </w:r>
      <w:r w:rsidR="00D45651">
        <w:t xml:space="preserve">planning </w:t>
      </w:r>
      <w:r w:rsidR="00F45A6E">
        <w:t xml:space="preserve">reserve margin fell 7.6% from 16.9% in 2017 to 9.3% in 2018.  It fell a further 1.2% to 8.1% in 2019.  </w:t>
      </w:r>
      <w:r>
        <w:t xml:space="preserve">2016 </w:t>
      </w:r>
      <w:proofErr w:type="spellStart"/>
      <w:r>
        <w:t>ERCOT</w:t>
      </w:r>
      <w:proofErr w:type="spellEnd"/>
      <w:r>
        <w:t xml:space="preserve"> Capacity, Demand and Reserves (</w:t>
      </w:r>
      <w:r w:rsidR="000E4F38">
        <w:t>“</w:t>
      </w:r>
      <w:proofErr w:type="spellStart"/>
      <w:r>
        <w:t>CDR</w:t>
      </w:r>
      <w:proofErr w:type="spellEnd"/>
      <w:r w:rsidR="000E4F38">
        <w:t>”</w:t>
      </w:r>
      <w:r>
        <w:t>) Report</w:t>
      </w:r>
      <w:r w:rsidR="00533AB5">
        <w:t xml:space="preserve"> at 9</w:t>
      </w:r>
      <w:r>
        <w:t xml:space="preserve"> </w:t>
      </w:r>
      <w:r w:rsidR="00A051CA">
        <w:t>(Dec. 15, 2016)</w:t>
      </w:r>
      <w:r>
        <w:t xml:space="preserve">; 2017 </w:t>
      </w:r>
      <w:proofErr w:type="spellStart"/>
      <w:r>
        <w:t>ERCOT</w:t>
      </w:r>
      <w:proofErr w:type="spellEnd"/>
      <w:r>
        <w:t xml:space="preserve"> </w:t>
      </w:r>
      <w:proofErr w:type="spellStart"/>
      <w:r>
        <w:t>CDR</w:t>
      </w:r>
      <w:proofErr w:type="spellEnd"/>
      <w:r>
        <w:t xml:space="preserve"> Report</w:t>
      </w:r>
      <w:r w:rsidR="00533AB5">
        <w:t xml:space="preserve"> at 9</w:t>
      </w:r>
      <w:r>
        <w:t xml:space="preserve"> </w:t>
      </w:r>
      <w:r w:rsidR="00A051CA">
        <w:t>(Dec. 18, 2017)</w:t>
      </w:r>
      <w:r w:rsidR="00533AB5">
        <w:t xml:space="preserve">; 2018 </w:t>
      </w:r>
      <w:proofErr w:type="spellStart"/>
      <w:r w:rsidR="00533AB5">
        <w:t>ERCOT</w:t>
      </w:r>
      <w:proofErr w:type="spellEnd"/>
      <w:r w:rsidR="00533AB5">
        <w:t xml:space="preserve"> </w:t>
      </w:r>
      <w:proofErr w:type="spellStart"/>
      <w:r w:rsidR="00533AB5">
        <w:t>CDR</w:t>
      </w:r>
      <w:proofErr w:type="spellEnd"/>
      <w:r w:rsidR="00533AB5">
        <w:t xml:space="preserve"> Report at 9 (Dec. 4, 2018)</w:t>
      </w:r>
      <w:r>
        <w:t>.</w:t>
      </w:r>
    </w:p>
  </w:footnote>
  <w:footnote w:id="16">
    <w:p w14:paraId="428509DF" w14:textId="37BBBCFD" w:rsidR="00FE0836" w:rsidRDefault="00FE0836" w:rsidP="00FE0836">
      <w:pPr>
        <w:pStyle w:val="FootnoteText"/>
      </w:pPr>
      <w:r>
        <w:rPr>
          <w:rStyle w:val="FootnoteReference"/>
        </w:rPr>
        <w:footnoteRef/>
      </w:r>
      <w:r>
        <w:t xml:space="preserve"> </w:t>
      </w:r>
      <w:r>
        <w:tab/>
        <w:t>While renewables have some limitations in replacing capacity, the timeframe for approvals and construction of new solar resources has been approximately 4 years.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5BE2D" w14:textId="77777777" w:rsidR="00174EC1" w:rsidRDefault="00174E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A7613" w14:textId="3740587D" w:rsidR="00DE7600" w:rsidRPr="00EF59BF" w:rsidRDefault="00DE7600" w:rsidP="00117307">
    <w:pPr>
      <w:pStyle w:val="Header"/>
      <w:tabs>
        <w:tab w:val="clear" w:pos="4320"/>
        <w:tab w:val="clear" w:pos="8640"/>
        <w:tab w:val="right" w:pos="9000"/>
      </w:tabs>
    </w:pPr>
    <w:r>
      <w:t>Entergy Texas, Inc.</w:t>
    </w:r>
    <w:r>
      <w:tab/>
    </w:r>
    <w:r w:rsidRPr="00CC55BC">
      <w:rPr>
        <w:rFonts w:eastAsia="Calibri"/>
      </w:rPr>
      <w:t xml:space="preserve">Page </w:t>
    </w:r>
    <w:r w:rsidRPr="00CC55BC">
      <w:rPr>
        <w:rFonts w:eastAsia="Calibri"/>
      </w:rPr>
      <w:fldChar w:fldCharType="begin"/>
    </w:r>
    <w:r w:rsidRPr="00CC55BC">
      <w:rPr>
        <w:rFonts w:eastAsia="Calibri"/>
      </w:rPr>
      <w:instrText xml:space="preserve"> PAGE   \* MERGEFORMAT </w:instrText>
    </w:r>
    <w:r w:rsidRPr="00CC55BC">
      <w:rPr>
        <w:rFonts w:eastAsia="Calibri"/>
      </w:rPr>
      <w:fldChar w:fldCharType="separate"/>
    </w:r>
    <w:r w:rsidR="00DB3F31">
      <w:rPr>
        <w:rFonts w:eastAsia="Calibri"/>
        <w:noProof/>
      </w:rPr>
      <w:t>19</w:t>
    </w:r>
    <w:r w:rsidRPr="00CC55BC">
      <w:rPr>
        <w:rFonts w:eastAsia="Calibri"/>
      </w:rPr>
      <w:fldChar w:fldCharType="end"/>
    </w:r>
    <w:r w:rsidRPr="00CC55BC">
      <w:rPr>
        <w:rFonts w:eastAsia="Calibri"/>
      </w:rPr>
      <w:t xml:space="preserve"> of </w:t>
    </w:r>
    <w:r w:rsidRPr="00CC55BC">
      <w:rPr>
        <w:rFonts w:eastAsia="Calibri"/>
      </w:rPr>
      <w:fldChar w:fldCharType="begin"/>
    </w:r>
    <w:r w:rsidRPr="00CC55BC">
      <w:rPr>
        <w:rFonts w:eastAsia="Calibri"/>
      </w:rPr>
      <w:instrText xml:space="preserve"> SECTIONPAGES   \* MERGEFORMAT </w:instrText>
    </w:r>
    <w:r w:rsidRPr="00CC55BC">
      <w:rPr>
        <w:rFonts w:eastAsia="Calibri"/>
      </w:rPr>
      <w:fldChar w:fldCharType="separate"/>
    </w:r>
    <w:r w:rsidR="00DB3F31">
      <w:rPr>
        <w:rFonts w:eastAsia="Calibri"/>
        <w:noProof/>
      </w:rPr>
      <w:t>23</w:t>
    </w:r>
    <w:r w:rsidRPr="00CC55BC">
      <w:rPr>
        <w:rFonts w:eastAsia="Calibri"/>
      </w:rPr>
      <w:fldChar w:fldCharType="end"/>
    </w:r>
  </w:p>
  <w:p w14:paraId="4E409E3A" w14:textId="3FD9E8EA" w:rsidR="00DE7600" w:rsidRPr="00933EA1" w:rsidRDefault="00DE7600" w:rsidP="00EF217A">
    <w:pPr>
      <w:tabs>
        <w:tab w:val="left" w:pos="3600"/>
        <w:tab w:val="center" w:pos="5040"/>
        <w:tab w:val="right" w:pos="9000"/>
      </w:tabs>
      <w:rPr>
        <w:sz w:val="20"/>
        <w:szCs w:val="20"/>
      </w:rPr>
    </w:pPr>
    <w:r w:rsidRPr="00933EA1">
      <w:rPr>
        <w:sz w:val="20"/>
        <w:szCs w:val="20"/>
      </w:rPr>
      <w:t xml:space="preserve">Direct Testimony of </w:t>
    </w:r>
    <w:r>
      <w:rPr>
        <w:sz w:val="20"/>
        <w:szCs w:val="20"/>
      </w:rPr>
      <w:t>Nicholas W. Owens</w:t>
    </w:r>
    <w:r w:rsidRPr="00933EA1">
      <w:rPr>
        <w:sz w:val="20"/>
        <w:szCs w:val="20"/>
      </w:rPr>
      <w:tab/>
    </w:r>
    <w:r>
      <w:rPr>
        <w:sz w:val="20"/>
        <w:szCs w:val="20"/>
      </w:rPr>
      <w:tab/>
    </w:r>
    <w:r>
      <w:rPr>
        <w:sz w:val="20"/>
        <w:szCs w:val="20"/>
      </w:rPr>
      <w:tab/>
    </w:r>
  </w:p>
  <w:p w14:paraId="2003036B" w14:textId="1439F163" w:rsidR="00DE7600" w:rsidRDefault="00DE7600" w:rsidP="001774B2">
    <w:pPr>
      <w:pStyle w:val="Header"/>
      <w:tabs>
        <w:tab w:val="clear" w:pos="8640"/>
        <w:tab w:val="left" w:pos="1440"/>
        <w:tab w:val="center" w:pos="2070"/>
        <w:tab w:val="right" w:pos="9000"/>
      </w:tabs>
    </w:pPr>
    <w:r w:rsidRPr="00933EA1">
      <w:t xml:space="preserve">Docket No. </w:t>
    </w:r>
    <w:r w:rsidR="00DF709D">
      <w:t>52487</w:t>
    </w:r>
  </w:p>
  <w:p w14:paraId="2EA6EC60" w14:textId="77777777" w:rsidR="00DE7600" w:rsidRDefault="00DE7600" w:rsidP="003A66EA">
    <w:pPr>
      <w:pStyle w:val="Header"/>
      <w:tabs>
        <w:tab w:val="clear" w:pos="8640"/>
        <w:tab w:val="center" w:pos="2880"/>
        <w:tab w:val="right" w:pos="9000"/>
      </w:tabs>
    </w:pPr>
  </w:p>
  <w:p w14:paraId="54C6E3CF" w14:textId="77777777" w:rsidR="00DE7600" w:rsidRPr="006B574D" w:rsidRDefault="00DE7600" w:rsidP="003A66EA">
    <w:pPr>
      <w:pStyle w:val="Header"/>
      <w:tabs>
        <w:tab w:val="clear" w:pos="8640"/>
        <w:tab w:val="center" w:pos="2880"/>
        <w:tab w:val="right" w:pos="9000"/>
      </w:tabs>
      <w:rPr>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488D4" w14:textId="77777777" w:rsidR="00174EC1" w:rsidRDefault="00174E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9F72C" w14:textId="54AC7EAC" w:rsidR="00DE7600" w:rsidRDefault="00DE7600" w:rsidP="003A66EA">
    <w:pPr>
      <w:pStyle w:val="Header"/>
      <w:tabs>
        <w:tab w:val="clear" w:pos="8640"/>
        <w:tab w:val="center" w:pos="2880"/>
        <w:tab w:val="right" w:pos="9000"/>
      </w:tabs>
      <w:rPr>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4088EA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hybridMultilevel"/>
    <w:tmpl w:val="669E3628"/>
    <w:lvl w:ilvl="0" w:tplc="7D1E5994">
      <w:start w:val="1"/>
      <w:numFmt w:val="decimal"/>
      <w:pStyle w:val="ListNumber4"/>
      <w:lvlText w:val="%1."/>
      <w:lvlJc w:val="left"/>
      <w:pPr>
        <w:tabs>
          <w:tab w:val="num" w:pos="1440"/>
        </w:tabs>
        <w:ind w:left="1440" w:hanging="360"/>
      </w:pPr>
    </w:lvl>
    <w:lvl w:ilvl="1" w:tplc="F1A877EA">
      <w:numFmt w:val="decimal"/>
      <w:lvlText w:val=""/>
      <w:lvlJc w:val="left"/>
    </w:lvl>
    <w:lvl w:ilvl="2" w:tplc="E5B60938">
      <w:numFmt w:val="decimal"/>
      <w:lvlText w:val=""/>
      <w:lvlJc w:val="left"/>
    </w:lvl>
    <w:lvl w:ilvl="3" w:tplc="F8ACA282">
      <w:numFmt w:val="decimal"/>
      <w:lvlText w:val=""/>
      <w:lvlJc w:val="left"/>
    </w:lvl>
    <w:lvl w:ilvl="4" w:tplc="E5F232BA">
      <w:numFmt w:val="decimal"/>
      <w:lvlText w:val=""/>
      <w:lvlJc w:val="left"/>
    </w:lvl>
    <w:lvl w:ilvl="5" w:tplc="521A36CC">
      <w:numFmt w:val="decimal"/>
      <w:lvlText w:val=""/>
      <w:lvlJc w:val="left"/>
    </w:lvl>
    <w:lvl w:ilvl="6" w:tplc="BF5CA61C">
      <w:numFmt w:val="decimal"/>
      <w:lvlText w:val=""/>
      <w:lvlJc w:val="left"/>
    </w:lvl>
    <w:lvl w:ilvl="7" w:tplc="2A1A9AAA">
      <w:numFmt w:val="decimal"/>
      <w:lvlText w:val=""/>
      <w:lvlJc w:val="left"/>
    </w:lvl>
    <w:lvl w:ilvl="8" w:tplc="F8A693FA">
      <w:numFmt w:val="decimal"/>
      <w:lvlText w:val=""/>
      <w:lvlJc w:val="left"/>
    </w:lvl>
  </w:abstractNum>
  <w:abstractNum w:abstractNumId="2" w15:restartNumberingAfterBreak="0">
    <w:nsid w:val="FFFFFF7E"/>
    <w:multiLevelType w:val="hybridMultilevel"/>
    <w:tmpl w:val="E0A22400"/>
    <w:lvl w:ilvl="0" w:tplc="EE7CA0A8">
      <w:start w:val="1"/>
      <w:numFmt w:val="decimal"/>
      <w:pStyle w:val="ListNumber3"/>
      <w:lvlText w:val="%1."/>
      <w:lvlJc w:val="left"/>
      <w:pPr>
        <w:tabs>
          <w:tab w:val="num" w:pos="1080"/>
        </w:tabs>
        <w:ind w:left="1080" w:hanging="360"/>
      </w:pPr>
    </w:lvl>
    <w:lvl w:ilvl="1" w:tplc="DFBE2DC6">
      <w:numFmt w:val="decimal"/>
      <w:lvlText w:val=""/>
      <w:lvlJc w:val="left"/>
    </w:lvl>
    <w:lvl w:ilvl="2" w:tplc="5866B0AE">
      <w:numFmt w:val="decimal"/>
      <w:lvlText w:val=""/>
      <w:lvlJc w:val="left"/>
    </w:lvl>
    <w:lvl w:ilvl="3" w:tplc="9D381582">
      <w:numFmt w:val="decimal"/>
      <w:lvlText w:val=""/>
      <w:lvlJc w:val="left"/>
    </w:lvl>
    <w:lvl w:ilvl="4" w:tplc="8D4E7616">
      <w:numFmt w:val="decimal"/>
      <w:lvlText w:val=""/>
      <w:lvlJc w:val="left"/>
    </w:lvl>
    <w:lvl w:ilvl="5" w:tplc="900A373C">
      <w:numFmt w:val="decimal"/>
      <w:lvlText w:val=""/>
      <w:lvlJc w:val="left"/>
    </w:lvl>
    <w:lvl w:ilvl="6" w:tplc="4724B5AA">
      <w:numFmt w:val="decimal"/>
      <w:lvlText w:val=""/>
      <w:lvlJc w:val="left"/>
    </w:lvl>
    <w:lvl w:ilvl="7" w:tplc="C2468438">
      <w:numFmt w:val="decimal"/>
      <w:lvlText w:val=""/>
      <w:lvlJc w:val="left"/>
    </w:lvl>
    <w:lvl w:ilvl="8" w:tplc="CD0243AA">
      <w:numFmt w:val="decimal"/>
      <w:lvlText w:val=""/>
      <w:lvlJc w:val="left"/>
    </w:lvl>
  </w:abstractNum>
  <w:abstractNum w:abstractNumId="3" w15:restartNumberingAfterBreak="0">
    <w:nsid w:val="FFFFFF7F"/>
    <w:multiLevelType w:val="hybridMultilevel"/>
    <w:tmpl w:val="79D211D0"/>
    <w:lvl w:ilvl="0" w:tplc="267CE37E">
      <w:start w:val="1"/>
      <w:numFmt w:val="decimal"/>
      <w:pStyle w:val="ListNumber2"/>
      <w:lvlText w:val="%1."/>
      <w:lvlJc w:val="left"/>
      <w:pPr>
        <w:tabs>
          <w:tab w:val="num" w:pos="720"/>
        </w:tabs>
        <w:ind w:left="720" w:hanging="360"/>
      </w:pPr>
    </w:lvl>
    <w:lvl w:ilvl="1" w:tplc="DCC4C76E">
      <w:numFmt w:val="decimal"/>
      <w:lvlText w:val=""/>
      <w:lvlJc w:val="left"/>
    </w:lvl>
    <w:lvl w:ilvl="2" w:tplc="78C0BDCA">
      <w:numFmt w:val="decimal"/>
      <w:lvlText w:val=""/>
      <w:lvlJc w:val="left"/>
    </w:lvl>
    <w:lvl w:ilvl="3" w:tplc="949A7386">
      <w:numFmt w:val="decimal"/>
      <w:lvlText w:val=""/>
      <w:lvlJc w:val="left"/>
    </w:lvl>
    <w:lvl w:ilvl="4" w:tplc="63F65246">
      <w:numFmt w:val="decimal"/>
      <w:lvlText w:val=""/>
      <w:lvlJc w:val="left"/>
    </w:lvl>
    <w:lvl w:ilvl="5" w:tplc="A41AFC0A">
      <w:numFmt w:val="decimal"/>
      <w:lvlText w:val=""/>
      <w:lvlJc w:val="left"/>
    </w:lvl>
    <w:lvl w:ilvl="6" w:tplc="C08E970A">
      <w:numFmt w:val="decimal"/>
      <w:lvlText w:val=""/>
      <w:lvlJc w:val="left"/>
    </w:lvl>
    <w:lvl w:ilvl="7" w:tplc="F23EDAB0">
      <w:numFmt w:val="decimal"/>
      <w:lvlText w:val=""/>
      <w:lvlJc w:val="left"/>
    </w:lvl>
    <w:lvl w:ilvl="8" w:tplc="539CFAE0">
      <w:numFmt w:val="decimal"/>
      <w:lvlText w:val=""/>
      <w:lvlJc w:val="left"/>
    </w:lvl>
  </w:abstractNum>
  <w:abstractNum w:abstractNumId="4" w15:restartNumberingAfterBreak="0">
    <w:nsid w:val="FFFFFF80"/>
    <w:multiLevelType w:val="hybridMultilevel"/>
    <w:tmpl w:val="C43475AC"/>
    <w:lvl w:ilvl="0" w:tplc="5756170E">
      <w:start w:val="1"/>
      <w:numFmt w:val="bullet"/>
      <w:pStyle w:val="ListBullet5"/>
      <w:lvlText w:val=""/>
      <w:lvlJc w:val="left"/>
      <w:pPr>
        <w:tabs>
          <w:tab w:val="num" w:pos="1800"/>
        </w:tabs>
        <w:ind w:left="1800" w:hanging="360"/>
      </w:pPr>
      <w:rPr>
        <w:rFonts w:ascii="Symbol" w:hAnsi="Symbol" w:hint="default"/>
      </w:rPr>
    </w:lvl>
    <w:lvl w:ilvl="1" w:tplc="DEFAD736">
      <w:numFmt w:val="decimal"/>
      <w:lvlText w:val=""/>
      <w:lvlJc w:val="left"/>
    </w:lvl>
    <w:lvl w:ilvl="2" w:tplc="B27AA8EE">
      <w:numFmt w:val="decimal"/>
      <w:lvlText w:val=""/>
      <w:lvlJc w:val="left"/>
    </w:lvl>
    <w:lvl w:ilvl="3" w:tplc="3CFC044E">
      <w:numFmt w:val="decimal"/>
      <w:lvlText w:val=""/>
      <w:lvlJc w:val="left"/>
    </w:lvl>
    <w:lvl w:ilvl="4" w:tplc="91E68B32">
      <w:numFmt w:val="decimal"/>
      <w:lvlText w:val=""/>
      <w:lvlJc w:val="left"/>
    </w:lvl>
    <w:lvl w:ilvl="5" w:tplc="84367D02">
      <w:numFmt w:val="decimal"/>
      <w:lvlText w:val=""/>
      <w:lvlJc w:val="left"/>
    </w:lvl>
    <w:lvl w:ilvl="6" w:tplc="37E6DE36">
      <w:numFmt w:val="decimal"/>
      <w:lvlText w:val=""/>
      <w:lvlJc w:val="left"/>
    </w:lvl>
    <w:lvl w:ilvl="7" w:tplc="3820802A">
      <w:numFmt w:val="decimal"/>
      <w:lvlText w:val=""/>
      <w:lvlJc w:val="left"/>
    </w:lvl>
    <w:lvl w:ilvl="8" w:tplc="5C267466">
      <w:numFmt w:val="decimal"/>
      <w:lvlText w:val=""/>
      <w:lvlJc w:val="left"/>
    </w:lvl>
  </w:abstractNum>
  <w:abstractNum w:abstractNumId="5" w15:restartNumberingAfterBreak="0">
    <w:nsid w:val="FFFFFF81"/>
    <w:multiLevelType w:val="hybridMultilevel"/>
    <w:tmpl w:val="C8F01598"/>
    <w:lvl w:ilvl="0" w:tplc="E9DA0918">
      <w:start w:val="1"/>
      <w:numFmt w:val="bullet"/>
      <w:pStyle w:val="ListBullet4"/>
      <w:lvlText w:val=""/>
      <w:lvlJc w:val="left"/>
      <w:pPr>
        <w:tabs>
          <w:tab w:val="num" w:pos="1440"/>
        </w:tabs>
        <w:ind w:left="1440" w:hanging="360"/>
      </w:pPr>
      <w:rPr>
        <w:rFonts w:ascii="Symbol" w:hAnsi="Symbol" w:hint="default"/>
      </w:rPr>
    </w:lvl>
    <w:lvl w:ilvl="1" w:tplc="2C9A67F6">
      <w:numFmt w:val="decimal"/>
      <w:lvlText w:val=""/>
      <w:lvlJc w:val="left"/>
    </w:lvl>
    <w:lvl w:ilvl="2" w:tplc="A44461BE">
      <w:numFmt w:val="decimal"/>
      <w:lvlText w:val=""/>
      <w:lvlJc w:val="left"/>
    </w:lvl>
    <w:lvl w:ilvl="3" w:tplc="46CA21CC">
      <w:numFmt w:val="decimal"/>
      <w:lvlText w:val=""/>
      <w:lvlJc w:val="left"/>
    </w:lvl>
    <w:lvl w:ilvl="4" w:tplc="D24894A2">
      <w:numFmt w:val="decimal"/>
      <w:lvlText w:val=""/>
      <w:lvlJc w:val="left"/>
    </w:lvl>
    <w:lvl w:ilvl="5" w:tplc="954E369C">
      <w:numFmt w:val="decimal"/>
      <w:lvlText w:val=""/>
      <w:lvlJc w:val="left"/>
    </w:lvl>
    <w:lvl w:ilvl="6" w:tplc="599C534C">
      <w:numFmt w:val="decimal"/>
      <w:lvlText w:val=""/>
      <w:lvlJc w:val="left"/>
    </w:lvl>
    <w:lvl w:ilvl="7" w:tplc="E4762D8C">
      <w:numFmt w:val="decimal"/>
      <w:lvlText w:val=""/>
      <w:lvlJc w:val="left"/>
    </w:lvl>
    <w:lvl w:ilvl="8" w:tplc="CA12BD42">
      <w:numFmt w:val="decimal"/>
      <w:lvlText w:val=""/>
      <w:lvlJc w:val="left"/>
    </w:lvl>
  </w:abstractNum>
  <w:abstractNum w:abstractNumId="6" w15:restartNumberingAfterBreak="0">
    <w:nsid w:val="FFFFFF82"/>
    <w:multiLevelType w:val="hybridMultilevel"/>
    <w:tmpl w:val="1570C3B6"/>
    <w:lvl w:ilvl="0" w:tplc="1A02477A">
      <w:start w:val="1"/>
      <w:numFmt w:val="bullet"/>
      <w:pStyle w:val="ListBullet3"/>
      <w:lvlText w:val=""/>
      <w:lvlJc w:val="left"/>
      <w:pPr>
        <w:tabs>
          <w:tab w:val="num" w:pos="1080"/>
        </w:tabs>
        <w:ind w:left="1080" w:hanging="360"/>
      </w:pPr>
      <w:rPr>
        <w:rFonts w:ascii="Symbol" w:hAnsi="Symbol" w:hint="default"/>
      </w:rPr>
    </w:lvl>
    <w:lvl w:ilvl="1" w:tplc="9594D8E0">
      <w:numFmt w:val="decimal"/>
      <w:lvlText w:val=""/>
      <w:lvlJc w:val="left"/>
    </w:lvl>
    <w:lvl w:ilvl="2" w:tplc="CD10657A">
      <w:numFmt w:val="decimal"/>
      <w:lvlText w:val=""/>
      <w:lvlJc w:val="left"/>
    </w:lvl>
    <w:lvl w:ilvl="3" w:tplc="52E69296">
      <w:numFmt w:val="decimal"/>
      <w:lvlText w:val=""/>
      <w:lvlJc w:val="left"/>
    </w:lvl>
    <w:lvl w:ilvl="4" w:tplc="FEA80ED8">
      <w:numFmt w:val="decimal"/>
      <w:lvlText w:val=""/>
      <w:lvlJc w:val="left"/>
    </w:lvl>
    <w:lvl w:ilvl="5" w:tplc="EA229958">
      <w:numFmt w:val="decimal"/>
      <w:lvlText w:val=""/>
      <w:lvlJc w:val="left"/>
    </w:lvl>
    <w:lvl w:ilvl="6" w:tplc="5CE64020">
      <w:numFmt w:val="decimal"/>
      <w:lvlText w:val=""/>
      <w:lvlJc w:val="left"/>
    </w:lvl>
    <w:lvl w:ilvl="7" w:tplc="5B5C2A2A">
      <w:numFmt w:val="decimal"/>
      <w:lvlText w:val=""/>
      <w:lvlJc w:val="left"/>
    </w:lvl>
    <w:lvl w:ilvl="8" w:tplc="D690FA48">
      <w:numFmt w:val="decimal"/>
      <w:lvlText w:val=""/>
      <w:lvlJc w:val="left"/>
    </w:lvl>
  </w:abstractNum>
  <w:abstractNum w:abstractNumId="7" w15:restartNumberingAfterBreak="0">
    <w:nsid w:val="FFFFFF83"/>
    <w:multiLevelType w:val="hybridMultilevel"/>
    <w:tmpl w:val="AD365FBC"/>
    <w:lvl w:ilvl="0" w:tplc="DA92CB32">
      <w:start w:val="1"/>
      <w:numFmt w:val="bullet"/>
      <w:pStyle w:val="ListBullet2"/>
      <w:lvlText w:val=""/>
      <w:lvlJc w:val="left"/>
      <w:pPr>
        <w:tabs>
          <w:tab w:val="num" w:pos="720"/>
        </w:tabs>
        <w:ind w:left="720" w:hanging="360"/>
      </w:pPr>
      <w:rPr>
        <w:rFonts w:ascii="Symbol" w:hAnsi="Symbol" w:hint="default"/>
      </w:rPr>
    </w:lvl>
    <w:lvl w:ilvl="1" w:tplc="B3740110">
      <w:numFmt w:val="decimal"/>
      <w:lvlText w:val=""/>
      <w:lvlJc w:val="left"/>
    </w:lvl>
    <w:lvl w:ilvl="2" w:tplc="3CCA82D4">
      <w:numFmt w:val="decimal"/>
      <w:lvlText w:val=""/>
      <w:lvlJc w:val="left"/>
    </w:lvl>
    <w:lvl w:ilvl="3" w:tplc="74D47A56">
      <w:numFmt w:val="decimal"/>
      <w:lvlText w:val=""/>
      <w:lvlJc w:val="left"/>
    </w:lvl>
    <w:lvl w:ilvl="4" w:tplc="C228ED0C">
      <w:numFmt w:val="decimal"/>
      <w:lvlText w:val=""/>
      <w:lvlJc w:val="left"/>
    </w:lvl>
    <w:lvl w:ilvl="5" w:tplc="64405134">
      <w:numFmt w:val="decimal"/>
      <w:lvlText w:val=""/>
      <w:lvlJc w:val="left"/>
    </w:lvl>
    <w:lvl w:ilvl="6" w:tplc="C9264098">
      <w:numFmt w:val="decimal"/>
      <w:lvlText w:val=""/>
      <w:lvlJc w:val="left"/>
    </w:lvl>
    <w:lvl w:ilvl="7" w:tplc="726613E2">
      <w:numFmt w:val="decimal"/>
      <w:lvlText w:val=""/>
      <w:lvlJc w:val="left"/>
    </w:lvl>
    <w:lvl w:ilvl="8" w:tplc="3D8692A8">
      <w:numFmt w:val="decimal"/>
      <w:lvlText w:val=""/>
      <w:lvlJc w:val="left"/>
    </w:lvl>
  </w:abstractNum>
  <w:abstractNum w:abstractNumId="8" w15:restartNumberingAfterBreak="0">
    <w:nsid w:val="FFFFFF88"/>
    <w:multiLevelType w:val="hybridMultilevel"/>
    <w:tmpl w:val="D8388A06"/>
    <w:lvl w:ilvl="0" w:tplc="198434E6">
      <w:start w:val="1"/>
      <w:numFmt w:val="decimal"/>
      <w:pStyle w:val="ListNumber"/>
      <w:lvlText w:val="%1."/>
      <w:lvlJc w:val="left"/>
      <w:pPr>
        <w:tabs>
          <w:tab w:val="num" w:pos="360"/>
        </w:tabs>
        <w:ind w:left="360" w:hanging="360"/>
      </w:pPr>
    </w:lvl>
    <w:lvl w:ilvl="1" w:tplc="E75C7478">
      <w:numFmt w:val="decimal"/>
      <w:lvlText w:val=""/>
      <w:lvlJc w:val="left"/>
    </w:lvl>
    <w:lvl w:ilvl="2" w:tplc="830A7858">
      <w:numFmt w:val="decimal"/>
      <w:lvlText w:val=""/>
      <w:lvlJc w:val="left"/>
    </w:lvl>
    <w:lvl w:ilvl="3" w:tplc="4754EAC4">
      <w:numFmt w:val="decimal"/>
      <w:lvlText w:val=""/>
      <w:lvlJc w:val="left"/>
    </w:lvl>
    <w:lvl w:ilvl="4" w:tplc="24043470">
      <w:numFmt w:val="decimal"/>
      <w:lvlText w:val=""/>
      <w:lvlJc w:val="left"/>
    </w:lvl>
    <w:lvl w:ilvl="5" w:tplc="00DC6440">
      <w:numFmt w:val="decimal"/>
      <w:lvlText w:val=""/>
      <w:lvlJc w:val="left"/>
    </w:lvl>
    <w:lvl w:ilvl="6" w:tplc="542225D8">
      <w:numFmt w:val="decimal"/>
      <w:lvlText w:val=""/>
      <w:lvlJc w:val="left"/>
    </w:lvl>
    <w:lvl w:ilvl="7" w:tplc="13F053D0">
      <w:numFmt w:val="decimal"/>
      <w:lvlText w:val=""/>
      <w:lvlJc w:val="left"/>
    </w:lvl>
    <w:lvl w:ilvl="8" w:tplc="E9C6F42E">
      <w:numFmt w:val="decimal"/>
      <w:lvlText w:val=""/>
      <w:lvlJc w:val="left"/>
    </w:lvl>
  </w:abstractNum>
  <w:abstractNum w:abstractNumId="9" w15:restartNumberingAfterBreak="0">
    <w:nsid w:val="FFFFFF89"/>
    <w:multiLevelType w:val="hybridMultilevel"/>
    <w:tmpl w:val="9B24565E"/>
    <w:lvl w:ilvl="0" w:tplc="29E0009E">
      <w:start w:val="1"/>
      <w:numFmt w:val="bullet"/>
      <w:pStyle w:val="ListBullet"/>
      <w:lvlText w:val=""/>
      <w:lvlJc w:val="left"/>
      <w:pPr>
        <w:tabs>
          <w:tab w:val="num" w:pos="360"/>
        </w:tabs>
        <w:ind w:left="360" w:hanging="360"/>
      </w:pPr>
      <w:rPr>
        <w:rFonts w:ascii="Symbol" w:hAnsi="Symbol" w:hint="default"/>
      </w:rPr>
    </w:lvl>
    <w:lvl w:ilvl="1" w:tplc="16C4A5B6">
      <w:numFmt w:val="decimal"/>
      <w:lvlText w:val=""/>
      <w:lvlJc w:val="left"/>
    </w:lvl>
    <w:lvl w:ilvl="2" w:tplc="E7621B92">
      <w:numFmt w:val="decimal"/>
      <w:lvlText w:val=""/>
      <w:lvlJc w:val="left"/>
    </w:lvl>
    <w:lvl w:ilvl="3" w:tplc="FD902FEE">
      <w:numFmt w:val="decimal"/>
      <w:lvlText w:val=""/>
      <w:lvlJc w:val="left"/>
    </w:lvl>
    <w:lvl w:ilvl="4" w:tplc="1C0EAE16">
      <w:numFmt w:val="decimal"/>
      <w:lvlText w:val=""/>
      <w:lvlJc w:val="left"/>
    </w:lvl>
    <w:lvl w:ilvl="5" w:tplc="35740414">
      <w:numFmt w:val="decimal"/>
      <w:lvlText w:val=""/>
      <w:lvlJc w:val="left"/>
    </w:lvl>
    <w:lvl w:ilvl="6" w:tplc="AF608998">
      <w:numFmt w:val="decimal"/>
      <w:lvlText w:val=""/>
      <w:lvlJc w:val="left"/>
    </w:lvl>
    <w:lvl w:ilvl="7" w:tplc="F948C128">
      <w:numFmt w:val="decimal"/>
      <w:lvlText w:val=""/>
      <w:lvlJc w:val="left"/>
    </w:lvl>
    <w:lvl w:ilvl="8" w:tplc="BD4A4DF6">
      <w:numFmt w:val="decimal"/>
      <w:lvlText w:val=""/>
      <w:lvlJc w:val="left"/>
    </w:lvl>
  </w:abstractNum>
  <w:abstractNum w:abstractNumId="10" w15:restartNumberingAfterBreak="0">
    <w:nsid w:val="04350CD3"/>
    <w:multiLevelType w:val="hybridMultilevel"/>
    <w:tmpl w:val="9B06A9AE"/>
    <w:lvl w:ilvl="0" w:tplc="9B349FDE">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F06EF"/>
    <w:multiLevelType w:val="hybridMultilevel"/>
    <w:tmpl w:val="71F42C28"/>
    <w:lvl w:ilvl="0" w:tplc="AEAEFFAE">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7E3437"/>
    <w:multiLevelType w:val="hybridMultilevel"/>
    <w:tmpl w:val="A6F23F22"/>
    <w:lvl w:ilvl="0" w:tplc="4308E7D0">
      <w:start w:val="1"/>
      <w:numFmt w:val="bullet"/>
      <w:lvlText w:val=""/>
      <w:lvlJc w:val="left"/>
      <w:pPr>
        <w:ind w:left="720" w:hanging="360"/>
      </w:pPr>
      <w:rPr>
        <w:rFonts w:ascii="Symbol" w:hAnsi="Symbol" w:hint="default"/>
      </w:rPr>
    </w:lvl>
    <w:lvl w:ilvl="1" w:tplc="942E2662" w:tentative="1">
      <w:start w:val="1"/>
      <w:numFmt w:val="bullet"/>
      <w:lvlText w:val="o"/>
      <w:lvlJc w:val="left"/>
      <w:pPr>
        <w:ind w:left="1440" w:hanging="360"/>
      </w:pPr>
      <w:rPr>
        <w:rFonts w:ascii="Courier New" w:hAnsi="Courier New" w:cs="Courier New" w:hint="default"/>
      </w:rPr>
    </w:lvl>
    <w:lvl w:ilvl="2" w:tplc="C644962C" w:tentative="1">
      <w:start w:val="1"/>
      <w:numFmt w:val="bullet"/>
      <w:lvlText w:val=""/>
      <w:lvlJc w:val="left"/>
      <w:pPr>
        <w:ind w:left="2160" w:hanging="360"/>
      </w:pPr>
      <w:rPr>
        <w:rFonts w:ascii="Wingdings" w:hAnsi="Wingdings" w:hint="default"/>
      </w:rPr>
    </w:lvl>
    <w:lvl w:ilvl="3" w:tplc="B000831C" w:tentative="1">
      <w:start w:val="1"/>
      <w:numFmt w:val="bullet"/>
      <w:lvlText w:val=""/>
      <w:lvlJc w:val="left"/>
      <w:pPr>
        <w:ind w:left="2880" w:hanging="360"/>
      </w:pPr>
      <w:rPr>
        <w:rFonts w:ascii="Symbol" w:hAnsi="Symbol" w:hint="default"/>
      </w:rPr>
    </w:lvl>
    <w:lvl w:ilvl="4" w:tplc="307C63EC" w:tentative="1">
      <w:start w:val="1"/>
      <w:numFmt w:val="bullet"/>
      <w:lvlText w:val="o"/>
      <w:lvlJc w:val="left"/>
      <w:pPr>
        <w:ind w:left="3600" w:hanging="360"/>
      </w:pPr>
      <w:rPr>
        <w:rFonts w:ascii="Courier New" w:hAnsi="Courier New" w:cs="Courier New" w:hint="default"/>
      </w:rPr>
    </w:lvl>
    <w:lvl w:ilvl="5" w:tplc="ECBA2D0E" w:tentative="1">
      <w:start w:val="1"/>
      <w:numFmt w:val="bullet"/>
      <w:lvlText w:val=""/>
      <w:lvlJc w:val="left"/>
      <w:pPr>
        <w:ind w:left="4320" w:hanging="360"/>
      </w:pPr>
      <w:rPr>
        <w:rFonts w:ascii="Wingdings" w:hAnsi="Wingdings" w:hint="default"/>
      </w:rPr>
    </w:lvl>
    <w:lvl w:ilvl="6" w:tplc="B85C1386" w:tentative="1">
      <w:start w:val="1"/>
      <w:numFmt w:val="bullet"/>
      <w:lvlText w:val=""/>
      <w:lvlJc w:val="left"/>
      <w:pPr>
        <w:ind w:left="5040" w:hanging="360"/>
      </w:pPr>
      <w:rPr>
        <w:rFonts w:ascii="Symbol" w:hAnsi="Symbol" w:hint="default"/>
      </w:rPr>
    </w:lvl>
    <w:lvl w:ilvl="7" w:tplc="5484C060" w:tentative="1">
      <w:start w:val="1"/>
      <w:numFmt w:val="bullet"/>
      <w:lvlText w:val="o"/>
      <w:lvlJc w:val="left"/>
      <w:pPr>
        <w:ind w:left="5760" w:hanging="360"/>
      </w:pPr>
      <w:rPr>
        <w:rFonts w:ascii="Courier New" w:hAnsi="Courier New" w:cs="Courier New" w:hint="default"/>
      </w:rPr>
    </w:lvl>
    <w:lvl w:ilvl="8" w:tplc="B3EE6838" w:tentative="1">
      <w:start w:val="1"/>
      <w:numFmt w:val="bullet"/>
      <w:lvlText w:val=""/>
      <w:lvlJc w:val="left"/>
      <w:pPr>
        <w:ind w:left="6480" w:hanging="360"/>
      </w:pPr>
      <w:rPr>
        <w:rFonts w:ascii="Wingdings" w:hAnsi="Wingdings" w:hint="default"/>
      </w:rPr>
    </w:lvl>
  </w:abstractNum>
  <w:abstractNum w:abstractNumId="13" w15:restartNumberingAfterBreak="0">
    <w:nsid w:val="10AE07BC"/>
    <w:multiLevelType w:val="hybridMultilevel"/>
    <w:tmpl w:val="FC34F98A"/>
    <w:lvl w:ilvl="0" w:tplc="2A52E4CE">
      <w:start w:val="1"/>
      <w:numFmt w:val="upperLetter"/>
      <w:lvlText w:val="%1."/>
      <w:lvlJc w:val="left"/>
      <w:pPr>
        <w:ind w:left="720" w:hanging="360"/>
      </w:pPr>
      <w:rPr>
        <w:rFonts w:hint="default"/>
      </w:rPr>
    </w:lvl>
    <w:lvl w:ilvl="1" w:tplc="4ABA2302" w:tentative="1">
      <w:start w:val="1"/>
      <w:numFmt w:val="lowerLetter"/>
      <w:lvlText w:val="%2."/>
      <w:lvlJc w:val="left"/>
      <w:pPr>
        <w:ind w:left="1440" w:hanging="360"/>
      </w:pPr>
    </w:lvl>
    <w:lvl w:ilvl="2" w:tplc="8E968894" w:tentative="1">
      <w:start w:val="1"/>
      <w:numFmt w:val="lowerRoman"/>
      <w:lvlText w:val="%3."/>
      <w:lvlJc w:val="right"/>
      <w:pPr>
        <w:ind w:left="2160" w:hanging="180"/>
      </w:pPr>
    </w:lvl>
    <w:lvl w:ilvl="3" w:tplc="000E8388" w:tentative="1">
      <w:start w:val="1"/>
      <w:numFmt w:val="decimal"/>
      <w:lvlText w:val="%4."/>
      <w:lvlJc w:val="left"/>
      <w:pPr>
        <w:ind w:left="2880" w:hanging="360"/>
      </w:pPr>
    </w:lvl>
    <w:lvl w:ilvl="4" w:tplc="9ACCF45E" w:tentative="1">
      <w:start w:val="1"/>
      <w:numFmt w:val="lowerLetter"/>
      <w:lvlText w:val="%5."/>
      <w:lvlJc w:val="left"/>
      <w:pPr>
        <w:ind w:left="3600" w:hanging="360"/>
      </w:pPr>
    </w:lvl>
    <w:lvl w:ilvl="5" w:tplc="7390E5C6" w:tentative="1">
      <w:start w:val="1"/>
      <w:numFmt w:val="lowerRoman"/>
      <w:lvlText w:val="%6."/>
      <w:lvlJc w:val="right"/>
      <w:pPr>
        <w:ind w:left="4320" w:hanging="180"/>
      </w:pPr>
    </w:lvl>
    <w:lvl w:ilvl="6" w:tplc="8AC40D60" w:tentative="1">
      <w:start w:val="1"/>
      <w:numFmt w:val="decimal"/>
      <w:lvlText w:val="%7."/>
      <w:lvlJc w:val="left"/>
      <w:pPr>
        <w:ind w:left="5040" w:hanging="360"/>
      </w:pPr>
    </w:lvl>
    <w:lvl w:ilvl="7" w:tplc="612A099A" w:tentative="1">
      <w:start w:val="1"/>
      <w:numFmt w:val="lowerLetter"/>
      <w:lvlText w:val="%8."/>
      <w:lvlJc w:val="left"/>
      <w:pPr>
        <w:ind w:left="5760" w:hanging="360"/>
      </w:pPr>
    </w:lvl>
    <w:lvl w:ilvl="8" w:tplc="9F2E25DA" w:tentative="1">
      <w:start w:val="1"/>
      <w:numFmt w:val="lowerRoman"/>
      <w:lvlText w:val="%9."/>
      <w:lvlJc w:val="right"/>
      <w:pPr>
        <w:ind w:left="6480" w:hanging="180"/>
      </w:pPr>
    </w:lvl>
  </w:abstractNum>
  <w:abstractNum w:abstractNumId="14" w15:restartNumberingAfterBreak="0">
    <w:nsid w:val="118B4018"/>
    <w:multiLevelType w:val="hybridMultilevel"/>
    <w:tmpl w:val="5FBAEA58"/>
    <w:lvl w:ilvl="0" w:tplc="D50A5E38">
      <w:start w:val="1"/>
      <w:numFmt w:val="upperLetter"/>
      <w:lvlText w:val="%1."/>
      <w:lvlJc w:val="left"/>
      <w:pPr>
        <w:ind w:left="720" w:hanging="360"/>
      </w:pPr>
      <w:rPr>
        <w:rFonts w:hint="default"/>
      </w:rPr>
    </w:lvl>
    <w:lvl w:ilvl="1" w:tplc="EC08AD30" w:tentative="1">
      <w:start w:val="1"/>
      <w:numFmt w:val="lowerLetter"/>
      <w:lvlText w:val="%2."/>
      <w:lvlJc w:val="left"/>
      <w:pPr>
        <w:ind w:left="1440" w:hanging="360"/>
      </w:pPr>
    </w:lvl>
    <w:lvl w:ilvl="2" w:tplc="817AAE1C" w:tentative="1">
      <w:start w:val="1"/>
      <w:numFmt w:val="lowerRoman"/>
      <w:lvlText w:val="%3."/>
      <w:lvlJc w:val="right"/>
      <w:pPr>
        <w:ind w:left="2160" w:hanging="180"/>
      </w:pPr>
    </w:lvl>
    <w:lvl w:ilvl="3" w:tplc="139E1098" w:tentative="1">
      <w:start w:val="1"/>
      <w:numFmt w:val="decimal"/>
      <w:lvlText w:val="%4."/>
      <w:lvlJc w:val="left"/>
      <w:pPr>
        <w:ind w:left="2880" w:hanging="360"/>
      </w:pPr>
    </w:lvl>
    <w:lvl w:ilvl="4" w:tplc="FA4CE626" w:tentative="1">
      <w:start w:val="1"/>
      <w:numFmt w:val="lowerLetter"/>
      <w:lvlText w:val="%5."/>
      <w:lvlJc w:val="left"/>
      <w:pPr>
        <w:ind w:left="3600" w:hanging="360"/>
      </w:pPr>
    </w:lvl>
    <w:lvl w:ilvl="5" w:tplc="C6B82024" w:tentative="1">
      <w:start w:val="1"/>
      <w:numFmt w:val="lowerRoman"/>
      <w:lvlText w:val="%6."/>
      <w:lvlJc w:val="right"/>
      <w:pPr>
        <w:ind w:left="4320" w:hanging="180"/>
      </w:pPr>
    </w:lvl>
    <w:lvl w:ilvl="6" w:tplc="8BD0423E" w:tentative="1">
      <w:start w:val="1"/>
      <w:numFmt w:val="decimal"/>
      <w:lvlText w:val="%7."/>
      <w:lvlJc w:val="left"/>
      <w:pPr>
        <w:ind w:left="5040" w:hanging="360"/>
      </w:pPr>
    </w:lvl>
    <w:lvl w:ilvl="7" w:tplc="CACC6D8C" w:tentative="1">
      <w:start w:val="1"/>
      <w:numFmt w:val="lowerLetter"/>
      <w:lvlText w:val="%8."/>
      <w:lvlJc w:val="left"/>
      <w:pPr>
        <w:ind w:left="5760" w:hanging="360"/>
      </w:pPr>
    </w:lvl>
    <w:lvl w:ilvl="8" w:tplc="2E640ECA" w:tentative="1">
      <w:start w:val="1"/>
      <w:numFmt w:val="lowerRoman"/>
      <w:lvlText w:val="%9."/>
      <w:lvlJc w:val="right"/>
      <w:pPr>
        <w:ind w:left="6480" w:hanging="180"/>
      </w:pPr>
    </w:lvl>
  </w:abstractNum>
  <w:abstractNum w:abstractNumId="15" w15:restartNumberingAfterBreak="0">
    <w:nsid w:val="1D6977A9"/>
    <w:multiLevelType w:val="hybridMultilevel"/>
    <w:tmpl w:val="96B6309A"/>
    <w:lvl w:ilvl="0" w:tplc="FF8AF10C">
      <w:start w:val="4"/>
      <w:numFmt w:val="upperLetter"/>
      <w:pStyle w:val="Heading8"/>
      <w:lvlText w:val="%1."/>
      <w:lvlJc w:val="left"/>
      <w:pPr>
        <w:tabs>
          <w:tab w:val="num" w:pos="360"/>
        </w:tabs>
        <w:ind w:left="360" w:hanging="360"/>
      </w:pPr>
      <w:rPr>
        <w:rFonts w:cs="Times New Roman" w:hint="default"/>
      </w:rPr>
    </w:lvl>
    <w:lvl w:ilvl="1" w:tplc="E9B8CA2A">
      <w:numFmt w:val="decimal"/>
      <w:lvlText w:val=""/>
      <w:lvlJc w:val="left"/>
    </w:lvl>
    <w:lvl w:ilvl="2" w:tplc="38E048F4">
      <w:numFmt w:val="decimal"/>
      <w:lvlText w:val=""/>
      <w:lvlJc w:val="left"/>
    </w:lvl>
    <w:lvl w:ilvl="3" w:tplc="367A3496">
      <w:numFmt w:val="decimal"/>
      <w:lvlText w:val=""/>
      <w:lvlJc w:val="left"/>
    </w:lvl>
    <w:lvl w:ilvl="4" w:tplc="CC9C10B0">
      <w:numFmt w:val="decimal"/>
      <w:lvlText w:val=""/>
      <w:lvlJc w:val="left"/>
    </w:lvl>
    <w:lvl w:ilvl="5" w:tplc="951E483C">
      <w:numFmt w:val="decimal"/>
      <w:lvlText w:val=""/>
      <w:lvlJc w:val="left"/>
    </w:lvl>
    <w:lvl w:ilvl="6" w:tplc="7E0E7278">
      <w:numFmt w:val="decimal"/>
      <w:lvlText w:val=""/>
      <w:lvlJc w:val="left"/>
    </w:lvl>
    <w:lvl w:ilvl="7" w:tplc="BF34B4EC">
      <w:numFmt w:val="decimal"/>
      <w:lvlText w:val=""/>
      <w:lvlJc w:val="left"/>
    </w:lvl>
    <w:lvl w:ilvl="8" w:tplc="3C62F3B2">
      <w:numFmt w:val="decimal"/>
      <w:lvlText w:val=""/>
      <w:lvlJc w:val="left"/>
    </w:lvl>
  </w:abstractNum>
  <w:abstractNum w:abstractNumId="16" w15:restartNumberingAfterBreak="0">
    <w:nsid w:val="264E29AC"/>
    <w:multiLevelType w:val="hybridMultilevel"/>
    <w:tmpl w:val="D6F89052"/>
    <w:lvl w:ilvl="0" w:tplc="FEA0D7FE">
      <w:start w:val="1"/>
      <w:numFmt w:val="upperRoman"/>
      <w:pStyle w:val="Heading1"/>
      <w:lvlText w:val="%1."/>
      <w:lvlJc w:val="center"/>
      <w:pPr>
        <w:ind w:left="360" w:hanging="360"/>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24"/>
        <w:szCs w:val="24"/>
        <w:u w:val="none"/>
        <w:effect w:val="none"/>
        <w:vertAlign w:val="baseline"/>
        <w:em w:val="none"/>
        <w14:ligatures w14:val="none"/>
        <w14:numForm w14:val="default"/>
        <w14:numSpacing w14:val="default"/>
        <w14:stylisticSets/>
        <w14:cntxtAlts w14:val="0"/>
      </w:rPr>
    </w:lvl>
    <w:lvl w:ilvl="1" w:tplc="23F6F13E">
      <w:start w:val="1"/>
      <w:numFmt w:val="decimal"/>
      <w:lvlText w:val="(%2)"/>
      <w:lvlJc w:val="left"/>
      <w:pPr>
        <w:tabs>
          <w:tab w:val="num" w:pos="1440"/>
        </w:tabs>
        <w:ind w:left="1440" w:hanging="360"/>
      </w:pPr>
      <w:rPr>
        <w:rFonts w:hint="default"/>
      </w:rPr>
    </w:lvl>
    <w:lvl w:ilvl="2" w:tplc="8242C718">
      <w:start w:val="1"/>
      <w:numFmt w:val="upperLetter"/>
      <w:lvlText w:val="%3."/>
      <w:lvlJc w:val="left"/>
      <w:pPr>
        <w:ind w:left="720" w:hanging="720"/>
      </w:pPr>
      <w:rPr>
        <w:rFonts w:hint="default"/>
      </w:rPr>
    </w:lvl>
    <w:lvl w:ilvl="3" w:tplc="8494C00E">
      <w:start w:val="1"/>
      <w:numFmt w:val="lowerLetter"/>
      <w:lvlText w:val="%4."/>
      <w:lvlJc w:val="left"/>
      <w:pPr>
        <w:ind w:left="2880" w:hanging="360"/>
      </w:pPr>
      <w:rPr>
        <w:rFonts w:hint="default"/>
      </w:rPr>
    </w:lvl>
    <w:lvl w:ilvl="4" w:tplc="7BF87252" w:tentative="1">
      <w:start w:val="1"/>
      <w:numFmt w:val="lowerLetter"/>
      <w:lvlText w:val="%5."/>
      <w:lvlJc w:val="left"/>
      <w:pPr>
        <w:tabs>
          <w:tab w:val="num" w:pos="3600"/>
        </w:tabs>
        <w:ind w:left="3600" w:hanging="360"/>
      </w:pPr>
    </w:lvl>
    <w:lvl w:ilvl="5" w:tplc="49B889AC" w:tentative="1">
      <w:start w:val="1"/>
      <w:numFmt w:val="lowerRoman"/>
      <w:lvlText w:val="%6."/>
      <w:lvlJc w:val="right"/>
      <w:pPr>
        <w:tabs>
          <w:tab w:val="num" w:pos="4320"/>
        </w:tabs>
        <w:ind w:left="4320" w:hanging="180"/>
      </w:pPr>
    </w:lvl>
    <w:lvl w:ilvl="6" w:tplc="EE82B6A2" w:tentative="1">
      <w:start w:val="1"/>
      <w:numFmt w:val="decimal"/>
      <w:lvlText w:val="%7."/>
      <w:lvlJc w:val="left"/>
      <w:pPr>
        <w:tabs>
          <w:tab w:val="num" w:pos="5040"/>
        </w:tabs>
        <w:ind w:left="5040" w:hanging="360"/>
      </w:pPr>
    </w:lvl>
    <w:lvl w:ilvl="7" w:tplc="EAD0BAB2" w:tentative="1">
      <w:start w:val="1"/>
      <w:numFmt w:val="lowerLetter"/>
      <w:lvlText w:val="%8."/>
      <w:lvlJc w:val="left"/>
      <w:pPr>
        <w:tabs>
          <w:tab w:val="num" w:pos="5760"/>
        </w:tabs>
        <w:ind w:left="5760" w:hanging="360"/>
      </w:pPr>
    </w:lvl>
    <w:lvl w:ilvl="8" w:tplc="D706928A" w:tentative="1">
      <w:start w:val="1"/>
      <w:numFmt w:val="lowerRoman"/>
      <w:lvlText w:val="%9."/>
      <w:lvlJc w:val="right"/>
      <w:pPr>
        <w:tabs>
          <w:tab w:val="num" w:pos="6480"/>
        </w:tabs>
        <w:ind w:left="6480" w:hanging="180"/>
      </w:pPr>
    </w:lvl>
  </w:abstractNum>
  <w:abstractNum w:abstractNumId="17" w15:restartNumberingAfterBreak="0">
    <w:nsid w:val="2934682A"/>
    <w:multiLevelType w:val="hybridMultilevel"/>
    <w:tmpl w:val="EE92E19E"/>
    <w:lvl w:ilvl="0" w:tplc="1082AE60">
      <w:start w:val="1"/>
      <w:numFmt w:val="upperLetter"/>
      <w:pStyle w:val="Heading2"/>
      <w:lvlText w:val="%1."/>
      <w:lvlJc w:val="left"/>
      <w:pPr>
        <w:ind w:left="3600" w:hanging="360"/>
      </w:pPr>
    </w:lvl>
    <w:lvl w:ilvl="1" w:tplc="32E85D34">
      <w:start w:val="1"/>
      <w:numFmt w:val="lowerLetter"/>
      <w:lvlText w:val="%2."/>
      <w:lvlJc w:val="left"/>
      <w:pPr>
        <w:ind w:left="1440" w:hanging="360"/>
      </w:pPr>
    </w:lvl>
    <w:lvl w:ilvl="2" w:tplc="0E94AC30" w:tentative="1">
      <w:start w:val="1"/>
      <w:numFmt w:val="lowerRoman"/>
      <w:lvlText w:val="%3."/>
      <w:lvlJc w:val="right"/>
      <w:pPr>
        <w:ind w:left="2160" w:hanging="180"/>
      </w:pPr>
    </w:lvl>
    <w:lvl w:ilvl="3" w:tplc="4A90DF00" w:tentative="1">
      <w:start w:val="1"/>
      <w:numFmt w:val="decimal"/>
      <w:lvlText w:val="%4."/>
      <w:lvlJc w:val="left"/>
      <w:pPr>
        <w:ind w:left="2880" w:hanging="360"/>
      </w:pPr>
    </w:lvl>
    <w:lvl w:ilvl="4" w:tplc="7E1CA0A2" w:tentative="1">
      <w:start w:val="1"/>
      <w:numFmt w:val="lowerLetter"/>
      <w:lvlText w:val="%5."/>
      <w:lvlJc w:val="left"/>
      <w:pPr>
        <w:ind w:left="3600" w:hanging="360"/>
      </w:pPr>
    </w:lvl>
    <w:lvl w:ilvl="5" w:tplc="F8E632FA" w:tentative="1">
      <w:start w:val="1"/>
      <w:numFmt w:val="lowerRoman"/>
      <w:lvlText w:val="%6."/>
      <w:lvlJc w:val="right"/>
      <w:pPr>
        <w:ind w:left="4320" w:hanging="180"/>
      </w:pPr>
    </w:lvl>
    <w:lvl w:ilvl="6" w:tplc="0054F90C" w:tentative="1">
      <w:start w:val="1"/>
      <w:numFmt w:val="decimal"/>
      <w:lvlText w:val="%7."/>
      <w:lvlJc w:val="left"/>
      <w:pPr>
        <w:ind w:left="5040" w:hanging="360"/>
      </w:pPr>
    </w:lvl>
    <w:lvl w:ilvl="7" w:tplc="CAF0D262" w:tentative="1">
      <w:start w:val="1"/>
      <w:numFmt w:val="lowerLetter"/>
      <w:lvlText w:val="%8."/>
      <w:lvlJc w:val="left"/>
      <w:pPr>
        <w:ind w:left="5760" w:hanging="360"/>
      </w:pPr>
    </w:lvl>
    <w:lvl w:ilvl="8" w:tplc="74C05674" w:tentative="1">
      <w:start w:val="1"/>
      <w:numFmt w:val="lowerRoman"/>
      <w:lvlText w:val="%9."/>
      <w:lvlJc w:val="right"/>
      <w:pPr>
        <w:ind w:left="6480" w:hanging="180"/>
      </w:pPr>
    </w:lvl>
  </w:abstractNum>
  <w:abstractNum w:abstractNumId="18" w15:restartNumberingAfterBreak="0">
    <w:nsid w:val="2EBB75F6"/>
    <w:multiLevelType w:val="hybridMultilevel"/>
    <w:tmpl w:val="7382A478"/>
    <w:lvl w:ilvl="0" w:tplc="1C58BF92">
      <w:start w:val="1"/>
      <w:numFmt w:val="bullet"/>
      <w:lvlText w:val=""/>
      <w:lvlJc w:val="left"/>
      <w:pPr>
        <w:ind w:left="720" w:hanging="360"/>
      </w:pPr>
      <w:rPr>
        <w:rFonts w:ascii="Symbol" w:hAnsi="Symbol" w:hint="default"/>
      </w:rPr>
    </w:lvl>
    <w:lvl w:ilvl="1" w:tplc="E97A8FB4">
      <w:start w:val="1"/>
      <w:numFmt w:val="bullet"/>
      <w:lvlText w:val="o"/>
      <w:lvlJc w:val="left"/>
      <w:pPr>
        <w:ind w:left="1440" w:hanging="360"/>
      </w:pPr>
      <w:rPr>
        <w:rFonts w:ascii="Courier New" w:hAnsi="Courier New" w:cs="Courier New" w:hint="default"/>
      </w:rPr>
    </w:lvl>
    <w:lvl w:ilvl="2" w:tplc="7A28B45A" w:tentative="1">
      <w:start w:val="1"/>
      <w:numFmt w:val="bullet"/>
      <w:lvlText w:val=""/>
      <w:lvlJc w:val="left"/>
      <w:pPr>
        <w:ind w:left="2160" w:hanging="360"/>
      </w:pPr>
      <w:rPr>
        <w:rFonts w:ascii="Wingdings" w:hAnsi="Wingdings" w:hint="default"/>
      </w:rPr>
    </w:lvl>
    <w:lvl w:ilvl="3" w:tplc="5EFA1354" w:tentative="1">
      <w:start w:val="1"/>
      <w:numFmt w:val="bullet"/>
      <w:lvlText w:val=""/>
      <w:lvlJc w:val="left"/>
      <w:pPr>
        <w:ind w:left="2880" w:hanging="360"/>
      </w:pPr>
      <w:rPr>
        <w:rFonts w:ascii="Symbol" w:hAnsi="Symbol" w:hint="default"/>
      </w:rPr>
    </w:lvl>
    <w:lvl w:ilvl="4" w:tplc="C270DC70" w:tentative="1">
      <w:start w:val="1"/>
      <w:numFmt w:val="bullet"/>
      <w:lvlText w:val="o"/>
      <w:lvlJc w:val="left"/>
      <w:pPr>
        <w:ind w:left="3600" w:hanging="360"/>
      </w:pPr>
      <w:rPr>
        <w:rFonts w:ascii="Courier New" w:hAnsi="Courier New" w:cs="Courier New" w:hint="default"/>
      </w:rPr>
    </w:lvl>
    <w:lvl w:ilvl="5" w:tplc="56CE9EB4" w:tentative="1">
      <w:start w:val="1"/>
      <w:numFmt w:val="bullet"/>
      <w:lvlText w:val=""/>
      <w:lvlJc w:val="left"/>
      <w:pPr>
        <w:ind w:left="4320" w:hanging="360"/>
      </w:pPr>
      <w:rPr>
        <w:rFonts w:ascii="Wingdings" w:hAnsi="Wingdings" w:hint="default"/>
      </w:rPr>
    </w:lvl>
    <w:lvl w:ilvl="6" w:tplc="F906EB20" w:tentative="1">
      <w:start w:val="1"/>
      <w:numFmt w:val="bullet"/>
      <w:lvlText w:val=""/>
      <w:lvlJc w:val="left"/>
      <w:pPr>
        <w:ind w:left="5040" w:hanging="360"/>
      </w:pPr>
      <w:rPr>
        <w:rFonts w:ascii="Symbol" w:hAnsi="Symbol" w:hint="default"/>
      </w:rPr>
    </w:lvl>
    <w:lvl w:ilvl="7" w:tplc="D696CFB0" w:tentative="1">
      <w:start w:val="1"/>
      <w:numFmt w:val="bullet"/>
      <w:lvlText w:val="o"/>
      <w:lvlJc w:val="left"/>
      <w:pPr>
        <w:ind w:left="5760" w:hanging="360"/>
      </w:pPr>
      <w:rPr>
        <w:rFonts w:ascii="Courier New" w:hAnsi="Courier New" w:cs="Courier New" w:hint="default"/>
      </w:rPr>
    </w:lvl>
    <w:lvl w:ilvl="8" w:tplc="07745FCA" w:tentative="1">
      <w:start w:val="1"/>
      <w:numFmt w:val="bullet"/>
      <w:lvlText w:val=""/>
      <w:lvlJc w:val="left"/>
      <w:pPr>
        <w:ind w:left="6480" w:hanging="360"/>
      </w:pPr>
      <w:rPr>
        <w:rFonts w:ascii="Wingdings" w:hAnsi="Wingdings" w:hint="default"/>
      </w:rPr>
    </w:lvl>
  </w:abstractNum>
  <w:abstractNum w:abstractNumId="19" w15:restartNumberingAfterBreak="0">
    <w:nsid w:val="3C542B04"/>
    <w:multiLevelType w:val="hybridMultilevel"/>
    <w:tmpl w:val="FE081E38"/>
    <w:lvl w:ilvl="0" w:tplc="8242C718">
      <w:start w:val="1"/>
      <w:numFmt w:val="upperLetter"/>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A96A98"/>
    <w:multiLevelType w:val="hybridMultilevel"/>
    <w:tmpl w:val="2CA40840"/>
    <w:lvl w:ilvl="0" w:tplc="921EFAAA">
      <w:start w:val="1"/>
      <w:numFmt w:val="upperLetter"/>
      <w:lvlText w:val="%1."/>
      <w:lvlJc w:val="left"/>
      <w:pPr>
        <w:ind w:left="720" w:hanging="720"/>
      </w:pPr>
      <w:rPr>
        <w:rFonts w:hint="default"/>
      </w:rPr>
    </w:lvl>
    <w:lvl w:ilvl="1" w:tplc="0C6E5682" w:tentative="1">
      <w:start w:val="1"/>
      <w:numFmt w:val="lowerLetter"/>
      <w:lvlText w:val="%2."/>
      <w:lvlJc w:val="left"/>
      <w:pPr>
        <w:ind w:left="1440" w:hanging="360"/>
      </w:pPr>
    </w:lvl>
    <w:lvl w:ilvl="2" w:tplc="3C620FAC" w:tentative="1">
      <w:start w:val="1"/>
      <w:numFmt w:val="lowerRoman"/>
      <w:lvlText w:val="%3."/>
      <w:lvlJc w:val="right"/>
      <w:pPr>
        <w:ind w:left="2160" w:hanging="180"/>
      </w:pPr>
    </w:lvl>
    <w:lvl w:ilvl="3" w:tplc="79B82686" w:tentative="1">
      <w:start w:val="1"/>
      <w:numFmt w:val="decimal"/>
      <w:lvlText w:val="%4."/>
      <w:lvlJc w:val="left"/>
      <w:pPr>
        <w:ind w:left="2880" w:hanging="360"/>
      </w:pPr>
    </w:lvl>
    <w:lvl w:ilvl="4" w:tplc="40A099E6" w:tentative="1">
      <w:start w:val="1"/>
      <w:numFmt w:val="lowerLetter"/>
      <w:lvlText w:val="%5."/>
      <w:lvlJc w:val="left"/>
      <w:pPr>
        <w:ind w:left="3600" w:hanging="360"/>
      </w:pPr>
    </w:lvl>
    <w:lvl w:ilvl="5" w:tplc="7A381E9C" w:tentative="1">
      <w:start w:val="1"/>
      <w:numFmt w:val="lowerRoman"/>
      <w:lvlText w:val="%6."/>
      <w:lvlJc w:val="right"/>
      <w:pPr>
        <w:ind w:left="4320" w:hanging="180"/>
      </w:pPr>
    </w:lvl>
    <w:lvl w:ilvl="6" w:tplc="A9500ADA" w:tentative="1">
      <w:start w:val="1"/>
      <w:numFmt w:val="decimal"/>
      <w:lvlText w:val="%7."/>
      <w:lvlJc w:val="left"/>
      <w:pPr>
        <w:ind w:left="5040" w:hanging="360"/>
      </w:pPr>
    </w:lvl>
    <w:lvl w:ilvl="7" w:tplc="9722673C" w:tentative="1">
      <w:start w:val="1"/>
      <w:numFmt w:val="lowerLetter"/>
      <w:lvlText w:val="%8."/>
      <w:lvlJc w:val="left"/>
      <w:pPr>
        <w:ind w:left="5760" w:hanging="360"/>
      </w:pPr>
    </w:lvl>
    <w:lvl w:ilvl="8" w:tplc="DBF4A7B4" w:tentative="1">
      <w:start w:val="1"/>
      <w:numFmt w:val="lowerRoman"/>
      <w:lvlText w:val="%9."/>
      <w:lvlJc w:val="right"/>
      <w:pPr>
        <w:ind w:left="6480" w:hanging="180"/>
      </w:pPr>
    </w:lvl>
  </w:abstractNum>
  <w:abstractNum w:abstractNumId="21" w15:restartNumberingAfterBreak="0">
    <w:nsid w:val="40BF13B9"/>
    <w:multiLevelType w:val="hybridMultilevel"/>
    <w:tmpl w:val="C98E07B4"/>
    <w:lvl w:ilvl="0" w:tplc="3B7ED4D6">
      <w:start w:val="1"/>
      <w:numFmt w:val="decimal"/>
      <w:lvlText w:val="Q%1."/>
      <w:lvlJc w:val="left"/>
      <w:pPr>
        <w:ind w:left="1080" w:hanging="360"/>
      </w:pPr>
      <w:rPr>
        <w:rFonts w:ascii="Times New Roman" w:hAnsi="Times New Roman" w:cs="Times New Roman" w:hint="default"/>
        <w:b w:val="0"/>
        <w:i w:val="0"/>
        <w:sz w:val="24"/>
      </w:rPr>
    </w:lvl>
    <w:lvl w:ilvl="1" w:tplc="D5C8FD44">
      <w:start w:val="1"/>
      <w:numFmt w:val="lowerLetter"/>
      <w:lvlText w:val="%2."/>
      <w:lvlJc w:val="left"/>
      <w:pPr>
        <w:ind w:left="-2790" w:hanging="360"/>
      </w:pPr>
    </w:lvl>
    <w:lvl w:ilvl="2" w:tplc="D436D6A8" w:tentative="1">
      <w:start w:val="1"/>
      <w:numFmt w:val="lowerRoman"/>
      <w:lvlText w:val="%3."/>
      <w:lvlJc w:val="right"/>
      <w:pPr>
        <w:ind w:left="-2070" w:hanging="180"/>
      </w:pPr>
    </w:lvl>
    <w:lvl w:ilvl="3" w:tplc="6A5222E4" w:tentative="1">
      <w:start w:val="1"/>
      <w:numFmt w:val="decimal"/>
      <w:lvlText w:val="%4."/>
      <w:lvlJc w:val="left"/>
      <w:pPr>
        <w:ind w:left="-1350" w:hanging="360"/>
      </w:pPr>
    </w:lvl>
    <w:lvl w:ilvl="4" w:tplc="D7764276" w:tentative="1">
      <w:start w:val="1"/>
      <w:numFmt w:val="lowerLetter"/>
      <w:lvlText w:val="%5."/>
      <w:lvlJc w:val="left"/>
      <w:pPr>
        <w:ind w:left="-630" w:hanging="360"/>
      </w:pPr>
    </w:lvl>
    <w:lvl w:ilvl="5" w:tplc="2490F95E" w:tentative="1">
      <w:start w:val="1"/>
      <w:numFmt w:val="lowerRoman"/>
      <w:lvlText w:val="%6."/>
      <w:lvlJc w:val="right"/>
      <w:pPr>
        <w:ind w:left="90" w:hanging="180"/>
      </w:pPr>
    </w:lvl>
    <w:lvl w:ilvl="6" w:tplc="3B3E1A90" w:tentative="1">
      <w:start w:val="1"/>
      <w:numFmt w:val="decimal"/>
      <w:lvlText w:val="%7."/>
      <w:lvlJc w:val="left"/>
      <w:pPr>
        <w:ind w:left="810" w:hanging="360"/>
      </w:pPr>
    </w:lvl>
    <w:lvl w:ilvl="7" w:tplc="74708528" w:tentative="1">
      <w:start w:val="1"/>
      <w:numFmt w:val="lowerLetter"/>
      <w:lvlText w:val="%8."/>
      <w:lvlJc w:val="left"/>
      <w:pPr>
        <w:ind w:left="1530" w:hanging="360"/>
      </w:pPr>
    </w:lvl>
    <w:lvl w:ilvl="8" w:tplc="CBA2C496" w:tentative="1">
      <w:start w:val="1"/>
      <w:numFmt w:val="lowerRoman"/>
      <w:lvlText w:val="%9."/>
      <w:lvlJc w:val="right"/>
      <w:pPr>
        <w:ind w:left="2250" w:hanging="180"/>
      </w:pPr>
    </w:lvl>
  </w:abstractNum>
  <w:abstractNum w:abstractNumId="22" w15:restartNumberingAfterBreak="0">
    <w:nsid w:val="488B47A6"/>
    <w:multiLevelType w:val="hybridMultilevel"/>
    <w:tmpl w:val="F544E4B8"/>
    <w:lvl w:ilvl="0" w:tplc="E4B454CA">
      <w:start w:val="1"/>
      <w:numFmt w:val="decimal"/>
      <w:pStyle w:val="QUESTION"/>
      <w:lvlText w:val="Q%1."/>
      <w:lvlJc w:val="left"/>
      <w:pPr>
        <w:ind w:left="720" w:hanging="360"/>
      </w:pPr>
      <w:rPr>
        <w:rFonts w:ascii="Times New Roman" w:hAnsi="Times New Roman" w:hint="default"/>
        <w:b w:val="0"/>
        <w:i w:val="0"/>
        <w:color w:val="auto"/>
        <w:sz w:val="24"/>
      </w:rPr>
    </w:lvl>
    <w:lvl w:ilvl="1" w:tplc="07164EDC" w:tentative="1">
      <w:start w:val="1"/>
      <w:numFmt w:val="lowerLetter"/>
      <w:lvlText w:val="%2."/>
      <w:lvlJc w:val="left"/>
      <w:pPr>
        <w:ind w:left="1440" w:hanging="360"/>
      </w:pPr>
    </w:lvl>
    <w:lvl w:ilvl="2" w:tplc="D382CD06" w:tentative="1">
      <w:start w:val="1"/>
      <w:numFmt w:val="lowerRoman"/>
      <w:lvlText w:val="%3."/>
      <w:lvlJc w:val="right"/>
      <w:pPr>
        <w:ind w:left="2160" w:hanging="180"/>
      </w:pPr>
    </w:lvl>
    <w:lvl w:ilvl="3" w:tplc="DF069CDA" w:tentative="1">
      <w:start w:val="1"/>
      <w:numFmt w:val="decimal"/>
      <w:lvlText w:val="%4."/>
      <w:lvlJc w:val="left"/>
      <w:pPr>
        <w:ind w:left="2880" w:hanging="360"/>
      </w:pPr>
    </w:lvl>
    <w:lvl w:ilvl="4" w:tplc="E31416B2" w:tentative="1">
      <w:start w:val="1"/>
      <w:numFmt w:val="lowerLetter"/>
      <w:lvlText w:val="%5."/>
      <w:lvlJc w:val="left"/>
      <w:pPr>
        <w:ind w:left="3600" w:hanging="360"/>
      </w:pPr>
    </w:lvl>
    <w:lvl w:ilvl="5" w:tplc="F73090D4" w:tentative="1">
      <w:start w:val="1"/>
      <w:numFmt w:val="lowerRoman"/>
      <w:lvlText w:val="%6."/>
      <w:lvlJc w:val="right"/>
      <w:pPr>
        <w:ind w:left="4320" w:hanging="180"/>
      </w:pPr>
    </w:lvl>
    <w:lvl w:ilvl="6" w:tplc="C01EF9C0" w:tentative="1">
      <w:start w:val="1"/>
      <w:numFmt w:val="decimal"/>
      <w:lvlText w:val="%7."/>
      <w:lvlJc w:val="left"/>
      <w:pPr>
        <w:ind w:left="5040" w:hanging="360"/>
      </w:pPr>
    </w:lvl>
    <w:lvl w:ilvl="7" w:tplc="ED2C7360" w:tentative="1">
      <w:start w:val="1"/>
      <w:numFmt w:val="lowerLetter"/>
      <w:lvlText w:val="%8."/>
      <w:lvlJc w:val="left"/>
      <w:pPr>
        <w:ind w:left="5760" w:hanging="360"/>
      </w:pPr>
    </w:lvl>
    <w:lvl w:ilvl="8" w:tplc="A860F07E" w:tentative="1">
      <w:start w:val="1"/>
      <w:numFmt w:val="lowerRoman"/>
      <w:lvlText w:val="%9."/>
      <w:lvlJc w:val="right"/>
      <w:pPr>
        <w:ind w:left="6480" w:hanging="180"/>
      </w:pPr>
    </w:lvl>
  </w:abstractNum>
  <w:abstractNum w:abstractNumId="23" w15:restartNumberingAfterBreak="0">
    <w:nsid w:val="4F6D49AF"/>
    <w:multiLevelType w:val="hybridMultilevel"/>
    <w:tmpl w:val="845642F4"/>
    <w:lvl w:ilvl="0" w:tplc="4F12C8E4">
      <w:start w:val="1"/>
      <w:numFmt w:val="upperLetter"/>
      <w:lvlText w:val="%1."/>
      <w:lvlJc w:val="left"/>
      <w:pPr>
        <w:ind w:left="720" w:hanging="360"/>
      </w:pPr>
      <w:rPr>
        <w:rFonts w:hint="default"/>
      </w:rPr>
    </w:lvl>
    <w:lvl w:ilvl="1" w:tplc="52D6709E" w:tentative="1">
      <w:start w:val="1"/>
      <w:numFmt w:val="lowerLetter"/>
      <w:lvlText w:val="%2."/>
      <w:lvlJc w:val="left"/>
      <w:pPr>
        <w:ind w:left="1440" w:hanging="360"/>
      </w:pPr>
    </w:lvl>
    <w:lvl w:ilvl="2" w:tplc="B544657C" w:tentative="1">
      <w:start w:val="1"/>
      <w:numFmt w:val="lowerRoman"/>
      <w:lvlText w:val="%3."/>
      <w:lvlJc w:val="right"/>
      <w:pPr>
        <w:ind w:left="2160" w:hanging="180"/>
      </w:pPr>
    </w:lvl>
    <w:lvl w:ilvl="3" w:tplc="D06A2DA6" w:tentative="1">
      <w:start w:val="1"/>
      <w:numFmt w:val="decimal"/>
      <w:lvlText w:val="%4."/>
      <w:lvlJc w:val="left"/>
      <w:pPr>
        <w:ind w:left="2880" w:hanging="360"/>
      </w:pPr>
    </w:lvl>
    <w:lvl w:ilvl="4" w:tplc="8ED2B23C" w:tentative="1">
      <w:start w:val="1"/>
      <w:numFmt w:val="lowerLetter"/>
      <w:lvlText w:val="%5."/>
      <w:lvlJc w:val="left"/>
      <w:pPr>
        <w:ind w:left="3600" w:hanging="360"/>
      </w:pPr>
    </w:lvl>
    <w:lvl w:ilvl="5" w:tplc="2DA8E832" w:tentative="1">
      <w:start w:val="1"/>
      <w:numFmt w:val="lowerRoman"/>
      <w:lvlText w:val="%6."/>
      <w:lvlJc w:val="right"/>
      <w:pPr>
        <w:ind w:left="4320" w:hanging="180"/>
      </w:pPr>
    </w:lvl>
    <w:lvl w:ilvl="6" w:tplc="87263608" w:tentative="1">
      <w:start w:val="1"/>
      <w:numFmt w:val="decimal"/>
      <w:lvlText w:val="%7."/>
      <w:lvlJc w:val="left"/>
      <w:pPr>
        <w:ind w:left="5040" w:hanging="360"/>
      </w:pPr>
    </w:lvl>
    <w:lvl w:ilvl="7" w:tplc="3D72CBB2" w:tentative="1">
      <w:start w:val="1"/>
      <w:numFmt w:val="lowerLetter"/>
      <w:lvlText w:val="%8."/>
      <w:lvlJc w:val="left"/>
      <w:pPr>
        <w:ind w:left="5760" w:hanging="360"/>
      </w:pPr>
    </w:lvl>
    <w:lvl w:ilvl="8" w:tplc="F1A4D7E2" w:tentative="1">
      <w:start w:val="1"/>
      <w:numFmt w:val="lowerRoman"/>
      <w:lvlText w:val="%9."/>
      <w:lvlJc w:val="right"/>
      <w:pPr>
        <w:ind w:left="6480" w:hanging="180"/>
      </w:pPr>
    </w:lvl>
  </w:abstractNum>
  <w:abstractNum w:abstractNumId="24" w15:restartNumberingAfterBreak="0">
    <w:nsid w:val="52721D39"/>
    <w:multiLevelType w:val="hybridMultilevel"/>
    <w:tmpl w:val="CBD2C77C"/>
    <w:lvl w:ilvl="0" w:tplc="7DF816A6">
      <w:start w:val="1"/>
      <w:numFmt w:val="decimal"/>
      <w:pStyle w:val="question0"/>
      <w:lvlText w:val="Q%1."/>
      <w:lvlJc w:val="left"/>
      <w:pPr>
        <w:ind w:left="459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53C04318" w:tentative="1">
      <w:start w:val="1"/>
      <w:numFmt w:val="lowerLetter"/>
      <w:lvlText w:val="%2."/>
      <w:lvlJc w:val="left"/>
      <w:pPr>
        <w:ind w:left="2160" w:hanging="360"/>
      </w:pPr>
    </w:lvl>
    <w:lvl w:ilvl="2" w:tplc="6A48ECE4" w:tentative="1">
      <w:start w:val="1"/>
      <w:numFmt w:val="lowerRoman"/>
      <w:lvlText w:val="%3."/>
      <w:lvlJc w:val="right"/>
      <w:pPr>
        <w:ind w:left="2880" w:hanging="180"/>
      </w:pPr>
    </w:lvl>
    <w:lvl w:ilvl="3" w:tplc="8B8E5DAA" w:tentative="1">
      <w:start w:val="1"/>
      <w:numFmt w:val="decimal"/>
      <w:lvlText w:val="%4."/>
      <w:lvlJc w:val="left"/>
      <w:pPr>
        <w:ind w:left="3600" w:hanging="360"/>
      </w:pPr>
    </w:lvl>
    <w:lvl w:ilvl="4" w:tplc="D5E0ADFE" w:tentative="1">
      <w:start w:val="1"/>
      <w:numFmt w:val="lowerLetter"/>
      <w:lvlText w:val="%5."/>
      <w:lvlJc w:val="left"/>
      <w:pPr>
        <w:ind w:left="4320" w:hanging="360"/>
      </w:pPr>
    </w:lvl>
    <w:lvl w:ilvl="5" w:tplc="950EDFDE" w:tentative="1">
      <w:start w:val="1"/>
      <w:numFmt w:val="lowerRoman"/>
      <w:lvlText w:val="%6."/>
      <w:lvlJc w:val="right"/>
      <w:pPr>
        <w:ind w:left="5040" w:hanging="180"/>
      </w:pPr>
    </w:lvl>
    <w:lvl w:ilvl="6" w:tplc="FEDCE596" w:tentative="1">
      <w:start w:val="1"/>
      <w:numFmt w:val="decimal"/>
      <w:lvlText w:val="%7."/>
      <w:lvlJc w:val="left"/>
      <w:pPr>
        <w:ind w:left="5760" w:hanging="360"/>
      </w:pPr>
    </w:lvl>
    <w:lvl w:ilvl="7" w:tplc="423EBD72" w:tentative="1">
      <w:start w:val="1"/>
      <w:numFmt w:val="lowerLetter"/>
      <w:lvlText w:val="%8."/>
      <w:lvlJc w:val="left"/>
      <w:pPr>
        <w:ind w:left="6480" w:hanging="360"/>
      </w:pPr>
    </w:lvl>
    <w:lvl w:ilvl="8" w:tplc="3392B1D0" w:tentative="1">
      <w:start w:val="1"/>
      <w:numFmt w:val="lowerRoman"/>
      <w:lvlText w:val="%9."/>
      <w:lvlJc w:val="right"/>
      <w:pPr>
        <w:ind w:left="7200" w:hanging="180"/>
      </w:pPr>
    </w:lvl>
  </w:abstractNum>
  <w:abstractNum w:abstractNumId="25" w15:restartNumberingAfterBreak="0">
    <w:nsid w:val="528C02A1"/>
    <w:multiLevelType w:val="hybridMultilevel"/>
    <w:tmpl w:val="229AEE42"/>
    <w:lvl w:ilvl="0" w:tplc="9E6045F2">
      <w:start w:val="1"/>
      <w:numFmt w:val="bullet"/>
      <w:lvlText w:val=""/>
      <w:lvlJc w:val="left"/>
      <w:pPr>
        <w:ind w:left="720" w:hanging="360"/>
      </w:pPr>
      <w:rPr>
        <w:rFonts w:ascii="Symbol" w:hAnsi="Symbol" w:hint="default"/>
      </w:rPr>
    </w:lvl>
    <w:lvl w:ilvl="1" w:tplc="D8E42910">
      <w:start w:val="1"/>
      <w:numFmt w:val="bullet"/>
      <w:lvlText w:val="o"/>
      <w:lvlJc w:val="left"/>
      <w:pPr>
        <w:ind w:left="1440" w:hanging="360"/>
      </w:pPr>
      <w:rPr>
        <w:rFonts w:ascii="Courier New" w:hAnsi="Courier New" w:cs="Courier New" w:hint="default"/>
      </w:rPr>
    </w:lvl>
    <w:lvl w:ilvl="2" w:tplc="9AE8556A">
      <w:start w:val="1"/>
      <w:numFmt w:val="bullet"/>
      <w:lvlText w:val=""/>
      <w:lvlJc w:val="left"/>
      <w:pPr>
        <w:ind w:left="2160" w:hanging="360"/>
      </w:pPr>
      <w:rPr>
        <w:rFonts w:ascii="Wingdings" w:hAnsi="Wingdings" w:hint="default"/>
      </w:rPr>
    </w:lvl>
    <w:lvl w:ilvl="3" w:tplc="3BDE0D86" w:tentative="1">
      <w:start w:val="1"/>
      <w:numFmt w:val="bullet"/>
      <w:lvlText w:val=""/>
      <w:lvlJc w:val="left"/>
      <w:pPr>
        <w:ind w:left="2880" w:hanging="360"/>
      </w:pPr>
      <w:rPr>
        <w:rFonts w:ascii="Symbol" w:hAnsi="Symbol" w:hint="default"/>
      </w:rPr>
    </w:lvl>
    <w:lvl w:ilvl="4" w:tplc="21D68FF4" w:tentative="1">
      <w:start w:val="1"/>
      <w:numFmt w:val="bullet"/>
      <w:lvlText w:val="o"/>
      <w:lvlJc w:val="left"/>
      <w:pPr>
        <w:ind w:left="3600" w:hanging="360"/>
      </w:pPr>
      <w:rPr>
        <w:rFonts w:ascii="Courier New" w:hAnsi="Courier New" w:cs="Courier New" w:hint="default"/>
      </w:rPr>
    </w:lvl>
    <w:lvl w:ilvl="5" w:tplc="2E4A2172" w:tentative="1">
      <w:start w:val="1"/>
      <w:numFmt w:val="bullet"/>
      <w:lvlText w:val=""/>
      <w:lvlJc w:val="left"/>
      <w:pPr>
        <w:ind w:left="4320" w:hanging="360"/>
      </w:pPr>
      <w:rPr>
        <w:rFonts w:ascii="Wingdings" w:hAnsi="Wingdings" w:hint="default"/>
      </w:rPr>
    </w:lvl>
    <w:lvl w:ilvl="6" w:tplc="844E4C84" w:tentative="1">
      <w:start w:val="1"/>
      <w:numFmt w:val="bullet"/>
      <w:lvlText w:val=""/>
      <w:lvlJc w:val="left"/>
      <w:pPr>
        <w:ind w:left="5040" w:hanging="360"/>
      </w:pPr>
      <w:rPr>
        <w:rFonts w:ascii="Symbol" w:hAnsi="Symbol" w:hint="default"/>
      </w:rPr>
    </w:lvl>
    <w:lvl w:ilvl="7" w:tplc="E71A7B3A" w:tentative="1">
      <w:start w:val="1"/>
      <w:numFmt w:val="bullet"/>
      <w:lvlText w:val="o"/>
      <w:lvlJc w:val="left"/>
      <w:pPr>
        <w:ind w:left="5760" w:hanging="360"/>
      </w:pPr>
      <w:rPr>
        <w:rFonts w:ascii="Courier New" w:hAnsi="Courier New" w:cs="Courier New" w:hint="default"/>
      </w:rPr>
    </w:lvl>
    <w:lvl w:ilvl="8" w:tplc="E0C0D44C" w:tentative="1">
      <w:start w:val="1"/>
      <w:numFmt w:val="bullet"/>
      <w:lvlText w:val=""/>
      <w:lvlJc w:val="left"/>
      <w:pPr>
        <w:ind w:left="6480" w:hanging="360"/>
      </w:pPr>
      <w:rPr>
        <w:rFonts w:ascii="Wingdings" w:hAnsi="Wingdings" w:hint="default"/>
      </w:rPr>
    </w:lvl>
  </w:abstractNum>
  <w:abstractNum w:abstractNumId="26" w15:restartNumberingAfterBreak="0">
    <w:nsid w:val="54EF1656"/>
    <w:multiLevelType w:val="hybridMultilevel"/>
    <w:tmpl w:val="313C18F6"/>
    <w:lvl w:ilvl="0" w:tplc="6B983E94">
      <w:start w:val="1"/>
      <w:numFmt w:val="bullet"/>
      <w:lvlText w:val=""/>
      <w:lvlJc w:val="left"/>
      <w:pPr>
        <w:ind w:left="720" w:hanging="360"/>
      </w:pPr>
      <w:rPr>
        <w:rFonts w:ascii="Symbol" w:hAnsi="Symbol" w:hint="default"/>
      </w:rPr>
    </w:lvl>
    <w:lvl w:ilvl="1" w:tplc="0A782332" w:tentative="1">
      <w:start w:val="1"/>
      <w:numFmt w:val="bullet"/>
      <w:lvlText w:val="o"/>
      <w:lvlJc w:val="left"/>
      <w:pPr>
        <w:ind w:left="1440" w:hanging="360"/>
      </w:pPr>
      <w:rPr>
        <w:rFonts w:ascii="Courier New" w:hAnsi="Courier New" w:cs="Courier New" w:hint="default"/>
      </w:rPr>
    </w:lvl>
    <w:lvl w:ilvl="2" w:tplc="AE14C22A" w:tentative="1">
      <w:start w:val="1"/>
      <w:numFmt w:val="bullet"/>
      <w:lvlText w:val=""/>
      <w:lvlJc w:val="left"/>
      <w:pPr>
        <w:ind w:left="2160" w:hanging="360"/>
      </w:pPr>
      <w:rPr>
        <w:rFonts w:ascii="Wingdings" w:hAnsi="Wingdings" w:hint="default"/>
      </w:rPr>
    </w:lvl>
    <w:lvl w:ilvl="3" w:tplc="60E0F5D0" w:tentative="1">
      <w:start w:val="1"/>
      <w:numFmt w:val="bullet"/>
      <w:lvlText w:val=""/>
      <w:lvlJc w:val="left"/>
      <w:pPr>
        <w:ind w:left="2880" w:hanging="360"/>
      </w:pPr>
      <w:rPr>
        <w:rFonts w:ascii="Symbol" w:hAnsi="Symbol" w:hint="default"/>
      </w:rPr>
    </w:lvl>
    <w:lvl w:ilvl="4" w:tplc="CD7C898E" w:tentative="1">
      <w:start w:val="1"/>
      <w:numFmt w:val="bullet"/>
      <w:lvlText w:val="o"/>
      <w:lvlJc w:val="left"/>
      <w:pPr>
        <w:ind w:left="3600" w:hanging="360"/>
      </w:pPr>
      <w:rPr>
        <w:rFonts w:ascii="Courier New" w:hAnsi="Courier New" w:cs="Courier New" w:hint="default"/>
      </w:rPr>
    </w:lvl>
    <w:lvl w:ilvl="5" w:tplc="AD82FAE6" w:tentative="1">
      <w:start w:val="1"/>
      <w:numFmt w:val="bullet"/>
      <w:lvlText w:val=""/>
      <w:lvlJc w:val="left"/>
      <w:pPr>
        <w:ind w:left="4320" w:hanging="360"/>
      </w:pPr>
      <w:rPr>
        <w:rFonts w:ascii="Wingdings" w:hAnsi="Wingdings" w:hint="default"/>
      </w:rPr>
    </w:lvl>
    <w:lvl w:ilvl="6" w:tplc="D98690E8" w:tentative="1">
      <w:start w:val="1"/>
      <w:numFmt w:val="bullet"/>
      <w:lvlText w:val=""/>
      <w:lvlJc w:val="left"/>
      <w:pPr>
        <w:ind w:left="5040" w:hanging="360"/>
      </w:pPr>
      <w:rPr>
        <w:rFonts w:ascii="Symbol" w:hAnsi="Symbol" w:hint="default"/>
      </w:rPr>
    </w:lvl>
    <w:lvl w:ilvl="7" w:tplc="AF8E7E02" w:tentative="1">
      <w:start w:val="1"/>
      <w:numFmt w:val="bullet"/>
      <w:lvlText w:val="o"/>
      <w:lvlJc w:val="left"/>
      <w:pPr>
        <w:ind w:left="5760" w:hanging="360"/>
      </w:pPr>
      <w:rPr>
        <w:rFonts w:ascii="Courier New" w:hAnsi="Courier New" w:cs="Courier New" w:hint="default"/>
      </w:rPr>
    </w:lvl>
    <w:lvl w:ilvl="8" w:tplc="7048D672" w:tentative="1">
      <w:start w:val="1"/>
      <w:numFmt w:val="bullet"/>
      <w:lvlText w:val=""/>
      <w:lvlJc w:val="left"/>
      <w:pPr>
        <w:ind w:left="6480" w:hanging="360"/>
      </w:pPr>
      <w:rPr>
        <w:rFonts w:ascii="Wingdings" w:hAnsi="Wingdings" w:hint="default"/>
      </w:rPr>
    </w:lvl>
  </w:abstractNum>
  <w:abstractNum w:abstractNumId="27" w15:restartNumberingAfterBreak="0">
    <w:nsid w:val="5C777AE9"/>
    <w:multiLevelType w:val="hybridMultilevel"/>
    <w:tmpl w:val="1B64206E"/>
    <w:lvl w:ilvl="0" w:tplc="A266A4A8">
      <w:start w:val="1"/>
      <w:numFmt w:val="upperLetter"/>
      <w:lvlText w:val="%1."/>
      <w:lvlJc w:val="left"/>
      <w:pPr>
        <w:tabs>
          <w:tab w:val="num" w:pos="720"/>
        </w:tabs>
        <w:ind w:left="720" w:hanging="720"/>
      </w:pPr>
      <w:rPr>
        <w:rFonts w:cs="Times New Roman" w:hint="default"/>
      </w:rPr>
    </w:lvl>
    <w:lvl w:ilvl="1" w:tplc="54F842CC">
      <w:numFmt w:val="decimal"/>
      <w:lvlText w:val=""/>
      <w:lvlJc w:val="left"/>
    </w:lvl>
    <w:lvl w:ilvl="2" w:tplc="098EE3B8">
      <w:numFmt w:val="decimal"/>
      <w:lvlText w:val=""/>
      <w:lvlJc w:val="left"/>
    </w:lvl>
    <w:lvl w:ilvl="3" w:tplc="9C6C7318">
      <w:numFmt w:val="decimal"/>
      <w:lvlText w:val=""/>
      <w:lvlJc w:val="left"/>
    </w:lvl>
    <w:lvl w:ilvl="4" w:tplc="CA269AF0">
      <w:numFmt w:val="decimal"/>
      <w:lvlText w:val=""/>
      <w:lvlJc w:val="left"/>
    </w:lvl>
    <w:lvl w:ilvl="5" w:tplc="54DC090A">
      <w:numFmt w:val="decimal"/>
      <w:lvlText w:val=""/>
      <w:lvlJc w:val="left"/>
    </w:lvl>
    <w:lvl w:ilvl="6" w:tplc="3E48A95A">
      <w:numFmt w:val="decimal"/>
      <w:lvlText w:val=""/>
      <w:lvlJc w:val="left"/>
    </w:lvl>
    <w:lvl w:ilvl="7" w:tplc="63F65588">
      <w:numFmt w:val="decimal"/>
      <w:lvlText w:val=""/>
      <w:lvlJc w:val="left"/>
    </w:lvl>
    <w:lvl w:ilvl="8" w:tplc="CAA830AC">
      <w:numFmt w:val="decimal"/>
      <w:lvlText w:val=""/>
      <w:lvlJc w:val="left"/>
    </w:lvl>
  </w:abstractNum>
  <w:abstractNum w:abstractNumId="28" w15:restartNumberingAfterBreak="0">
    <w:nsid w:val="5CCD6C32"/>
    <w:multiLevelType w:val="hybridMultilevel"/>
    <w:tmpl w:val="F4608726"/>
    <w:lvl w:ilvl="0" w:tplc="E1D2C7D8">
      <w:start w:val="1"/>
      <w:numFmt w:val="bullet"/>
      <w:lvlText w:val=""/>
      <w:lvlJc w:val="left"/>
      <w:pPr>
        <w:ind w:left="720" w:hanging="360"/>
      </w:pPr>
      <w:rPr>
        <w:rFonts w:ascii="Symbol" w:hAnsi="Symbol" w:hint="default"/>
      </w:rPr>
    </w:lvl>
    <w:lvl w:ilvl="1" w:tplc="55BC9222" w:tentative="1">
      <w:start w:val="1"/>
      <w:numFmt w:val="bullet"/>
      <w:lvlText w:val="o"/>
      <w:lvlJc w:val="left"/>
      <w:pPr>
        <w:ind w:left="1440" w:hanging="360"/>
      </w:pPr>
      <w:rPr>
        <w:rFonts w:ascii="Courier New" w:hAnsi="Courier New" w:cs="Courier New" w:hint="default"/>
      </w:rPr>
    </w:lvl>
    <w:lvl w:ilvl="2" w:tplc="B1A0FBE2" w:tentative="1">
      <w:start w:val="1"/>
      <w:numFmt w:val="bullet"/>
      <w:lvlText w:val=""/>
      <w:lvlJc w:val="left"/>
      <w:pPr>
        <w:ind w:left="2160" w:hanging="360"/>
      </w:pPr>
      <w:rPr>
        <w:rFonts w:ascii="Wingdings" w:hAnsi="Wingdings" w:hint="default"/>
      </w:rPr>
    </w:lvl>
    <w:lvl w:ilvl="3" w:tplc="9026A4E6" w:tentative="1">
      <w:start w:val="1"/>
      <w:numFmt w:val="bullet"/>
      <w:lvlText w:val=""/>
      <w:lvlJc w:val="left"/>
      <w:pPr>
        <w:ind w:left="2880" w:hanging="360"/>
      </w:pPr>
      <w:rPr>
        <w:rFonts w:ascii="Symbol" w:hAnsi="Symbol" w:hint="default"/>
      </w:rPr>
    </w:lvl>
    <w:lvl w:ilvl="4" w:tplc="A7F26DFA" w:tentative="1">
      <w:start w:val="1"/>
      <w:numFmt w:val="bullet"/>
      <w:lvlText w:val="o"/>
      <w:lvlJc w:val="left"/>
      <w:pPr>
        <w:ind w:left="3600" w:hanging="360"/>
      </w:pPr>
      <w:rPr>
        <w:rFonts w:ascii="Courier New" w:hAnsi="Courier New" w:cs="Courier New" w:hint="default"/>
      </w:rPr>
    </w:lvl>
    <w:lvl w:ilvl="5" w:tplc="9D5C6E36" w:tentative="1">
      <w:start w:val="1"/>
      <w:numFmt w:val="bullet"/>
      <w:lvlText w:val=""/>
      <w:lvlJc w:val="left"/>
      <w:pPr>
        <w:ind w:left="4320" w:hanging="360"/>
      </w:pPr>
      <w:rPr>
        <w:rFonts w:ascii="Wingdings" w:hAnsi="Wingdings" w:hint="default"/>
      </w:rPr>
    </w:lvl>
    <w:lvl w:ilvl="6" w:tplc="AC1AF456" w:tentative="1">
      <w:start w:val="1"/>
      <w:numFmt w:val="bullet"/>
      <w:lvlText w:val=""/>
      <w:lvlJc w:val="left"/>
      <w:pPr>
        <w:ind w:left="5040" w:hanging="360"/>
      </w:pPr>
      <w:rPr>
        <w:rFonts w:ascii="Symbol" w:hAnsi="Symbol" w:hint="default"/>
      </w:rPr>
    </w:lvl>
    <w:lvl w:ilvl="7" w:tplc="3A2AB2B2" w:tentative="1">
      <w:start w:val="1"/>
      <w:numFmt w:val="bullet"/>
      <w:lvlText w:val="o"/>
      <w:lvlJc w:val="left"/>
      <w:pPr>
        <w:ind w:left="5760" w:hanging="360"/>
      </w:pPr>
      <w:rPr>
        <w:rFonts w:ascii="Courier New" w:hAnsi="Courier New" w:cs="Courier New" w:hint="default"/>
      </w:rPr>
    </w:lvl>
    <w:lvl w:ilvl="8" w:tplc="041C25FE" w:tentative="1">
      <w:start w:val="1"/>
      <w:numFmt w:val="bullet"/>
      <w:lvlText w:val=""/>
      <w:lvlJc w:val="left"/>
      <w:pPr>
        <w:ind w:left="6480" w:hanging="360"/>
      </w:pPr>
      <w:rPr>
        <w:rFonts w:ascii="Wingdings" w:hAnsi="Wingdings" w:hint="default"/>
      </w:rPr>
    </w:lvl>
  </w:abstractNum>
  <w:abstractNum w:abstractNumId="29" w15:restartNumberingAfterBreak="0">
    <w:nsid w:val="5F61639F"/>
    <w:multiLevelType w:val="hybridMultilevel"/>
    <w:tmpl w:val="1818AEB4"/>
    <w:lvl w:ilvl="0" w:tplc="8242C718">
      <w:start w:val="1"/>
      <w:numFmt w:val="upperLetter"/>
      <w:lvlText w:val="%1."/>
      <w:lvlJc w:val="left"/>
      <w:pPr>
        <w:ind w:left="2700" w:hanging="72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30" w15:restartNumberingAfterBreak="0">
    <w:nsid w:val="68944999"/>
    <w:multiLevelType w:val="hybridMultilevel"/>
    <w:tmpl w:val="5BD6BE9E"/>
    <w:lvl w:ilvl="0" w:tplc="F7F634E6">
      <w:start w:val="1"/>
      <w:numFmt w:val="upperLetter"/>
      <w:pStyle w:val="LPSCHeading2"/>
      <w:lvlText w:val="%1."/>
      <w:lvlJc w:val="left"/>
      <w:pPr>
        <w:ind w:left="360" w:hanging="360"/>
      </w:pPr>
      <w:rPr>
        <w:rFonts w:hint="default"/>
        <w:u w:val="none"/>
      </w:rPr>
    </w:lvl>
    <w:lvl w:ilvl="1" w:tplc="CC50CD42" w:tentative="1">
      <w:start w:val="1"/>
      <w:numFmt w:val="lowerLetter"/>
      <w:lvlText w:val="%2."/>
      <w:lvlJc w:val="left"/>
      <w:pPr>
        <w:ind w:left="1440" w:hanging="360"/>
      </w:pPr>
    </w:lvl>
    <w:lvl w:ilvl="2" w:tplc="E00EF76E" w:tentative="1">
      <w:start w:val="1"/>
      <w:numFmt w:val="lowerRoman"/>
      <w:lvlText w:val="%3."/>
      <w:lvlJc w:val="right"/>
      <w:pPr>
        <w:ind w:left="2160" w:hanging="180"/>
      </w:pPr>
    </w:lvl>
    <w:lvl w:ilvl="3" w:tplc="E0941910" w:tentative="1">
      <w:start w:val="1"/>
      <w:numFmt w:val="decimal"/>
      <w:lvlText w:val="%4."/>
      <w:lvlJc w:val="left"/>
      <w:pPr>
        <w:ind w:left="2880" w:hanging="360"/>
      </w:pPr>
    </w:lvl>
    <w:lvl w:ilvl="4" w:tplc="E13A1AE0" w:tentative="1">
      <w:start w:val="1"/>
      <w:numFmt w:val="lowerLetter"/>
      <w:lvlText w:val="%5."/>
      <w:lvlJc w:val="left"/>
      <w:pPr>
        <w:ind w:left="3600" w:hanging="360"/>
      </w:pPr>
    </w:lvl>
    <w:lvl w:ilvl="5" w:tplc="7D8E54B4" w:tentative="1">
      <w:start w:val="1"/>
      <w:numFmt w:val="lowerRoman"/>
      <w:lvlText w:val="%6."/>
      <w:lvlJc w:val="right"/>
      <w:pPr>
        <w:ind w:left="4320" w:hanging="180"/>
      </w:pPr>
    </w:lvl>
    <w:lvl w:ilvl="6" w:tplc="F1FE3C26" w:tentative="1">
      <w:start w:val="1"/>
      <w:numFmt w:val="decimal"/>
      <w:lvlText w:val="%7."/>
      <w:lvlJc w:val="left"/>
      <w:pPr>
        <w:ind w:left="5040" w:hanging="360"/>
      </w:pPr>
    </w:lvl>
    <w:lvl w:ilvl="7" w:tplc="03F2D34C" w:tentative="1">
      <w:start w:val="1"/>
      <w:numFmt w:val="lowerLetter"/>
      <w:lvlText w:val="%8."/>
      <w:lvlJc w:val="left"/>
      <w:pPr>
        <w:ind w:left="5760" w:hanging="360"/>
      </w:pPr>
    </w:lvl>
    <w:lvl w:ilvl="8" w:tplc="CAC6A6D2" w:tentative="1">
      <w:start w:val="1"/>
      <w:numFmt w:val="lowerRoman"/>
      <w:lvlText w:val="%9."/>
      <w:lvlJc w:val="right"/>
      <w:pPr>
        <w:ind w:left="6480" w:hanging="180"/>
      </w:pPr>
    </w:lvl>
  </w:abstractNum>
  <w:abstractNum w:abstractNumId="31" w15:restartNumberingAfterBreak="0">
    <w:nsid w:val="75FE58F7"/>
    <w:multiLevelType w:val="hybridMultilevel"/>
    <w:tmpl w:val="A89E321C"/>
    <w:lvl w:ilvl="0" w:tplc="99B8C154">
      <w:start w:val="1"/>
      <w:numFmt w:val="upperLetter"/>
      <w:pStyle w:val="Heading3"/>
      <w:lvlText w:val="%1."/>
      <w:lvlJc w:val="left"/>
      <w:pPr>
        <w:ind w:left="720" w:hanging="360"/>
      </w:pPr>
    </w:lvl>
    <w:lvl w:ilvl="1" w:tplc="5868FC32" w:tentative="1">
      <w:start w:val="1"/>
      <w:numFmt w:val="lowerLetter"/>
      <w:lvlText w:val="%2."/>
      <w:lvlJc w:val="left"/>
      <w:pPr>
        <w:ind w:left="1440" w:hanging="360"/>
      </w:pPr>
    </w:lvl>
    <w:lvl w:ilvl="2" w:tplc="BD6A3A4E" w:tentative="1">
      <w:start w:val="1"/>
      <w:numFmt w:val="lowerRoman"/>
      <w:lvlText w:val="%3."/>
      <w:lvlJc w:val="right"/>
      <w:pPr>
        <w:ind w:left="2160" w:hanging="180"/>
      </w:pPr>
    </w:lvl>
    <w:lvl w:ilvl="3" w:tplc="22EC0170" w:tentative="1">
      <w:start w:val="1"/>
      <w:numFmt w:val="decimal"/>
      <w:lvlText w:val="%4."/>
      <w:lvlJc w:val="left"/>
      <w:pPr>
        <w:ind w:left="2880" w:hanging="360"/>
      </w:pPr>
    </w:lvl>
    <w:lvl w:ilvl="4" w:tplc="7570BA5C" w:tentative="1">
      <w:start w:val="1"/>
      <w:numFmt w:val="lowerLetter"/>
      <w:lvlText w:val="%5."/>
      <w:lvlJc w:val="left"/>
      <w:pPr>
        <w:ind w:left="3600" w:hanging="360"/>
      </w:pPr>
    </w:lvl>
    <w:lvl w:ilvl="5" w:tplc="160E916A" w:tentative="1">
      <w:start w:val="1"/>
      <w:numFmt w:val="lowerRoman"/>
      <w:lvlText w:val="%6."/>
      <w:lvlJc w:val="right"/>
      <w:pPr>
        <w:ind w:left="4320" w:hanging="180"/>
      </w:pPr>
    </w:lvl>
    <w:lvl w:ilvl="6" w:tplc="027C986C" w:tentative="1">
      <w:start w:val="1"/>
      <w:numFmt w:val="decimal"/>
      <w:lvlText w:val="%7."/>
      <w:lvlJc w:val="left"/>
      <w:pPr>
        <w:ind w:left="5040" w:hanging="360"/>
      </w:pPr>
    </w:lvl>
    <w:lvl w:ilvl="7" w:tplc="0E648E8E" w:tentative="1">
      <w:start w:val="1"/>
      <w:numFmt w:val="lowerLetter"/>
      <w:lvlText w:val="%8."/>
      <w:lvlJc w:val="left"/>
      <w:pPr>
        <w:ind w:left="5760" w:hanging="360"/>
      </w:pPr>
    </w:lvl>
    <w:lvl w:ilvl="8" w:tplc="6FE4DAA4" w:tentative="1">
      <w:start w:val="1"/>
      <w:numFmt w:val="lowerRoman"/>
      <w:lvlText w:val="%9."/>
      <w:lvlJc w:val="right"/>
      <w:pPr>
        <w:ind w:left="6480" w:hanging="180"/>
      </w:pPr>
    </w:lvl>
  </w:abstractNum>
  <w:num w:numId="1">
    <w:abstractNumId w:val="16"/>
  </w:num>
  <w:num w:numId="2">
    <w:abstractNumId w:val="17"/>
  </w:num>
  <w:num w:numId="3">
    <w:abstractNumId w:val="30"/>
  </w:num>
  <w:num w:numId="4">
    <w:abstractNumId w:val="22"/>
  </w:num>
  <w:num w:numId="5">
    <w:abstractNumId w:val="23"/>
  </w:num>
  <w:num w:numId="6">
    <w:abstractNumId w:val="31"/>
  </w:num>
  <w:num w:numId="7">
    <w:abstractNumId w:val="20"/>
  </w:num>
  <w:num w:numId="8">
    <w:abstractNumId w:val="15"/>
  </w:num>
  <w:num w:numId="9">
    <w:abstractNumId w:val="24"/>
  </w:num>
  <w:num w:numId="10">
    <w:abstractNumId w:val="14"/>
  </w:num>
  <w:num w:numId="11">
    <w:abstractNumId w:val="13"/>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5"/>
  </w:num>
  <w:num w:numId="23">
    <w:abstractNumId w:val="12"/>
  </w:num>
  <w:num w:numId="24">
    <w:abstractNumId w:val="26"/>
  </w:num>
  <w:num w:numId="25">
    <w:abstractNumId w:val="18"/>
  </w:num>
  <w:num w:numId="26">
    <w:abstractNumId w:val="17"/>
    <w:lvlOverride w:ilvl="0">
      <w:startOverride w:val="1"/>
    </w:lvlOverride>
  </w:num>
  <w:num w:numId="27">
    <w:abstractNumId w:val="28"/>
  </w:num>
  <w:num w:numId="28">
    <w:abstractNumId w:val="27"/>
  </w:num>
  <w:num w:numId="29">
    <w:abstractNumId w:val="21"/>
  </w:num>
  <w:num w:numId="30">
    <w:abstractNumId w:val="10"/>
  </w:num>
  <w:num w:numId="31">
    <w:abstractNumId w:val="11"/>
  </w:num>
  <w:num w:numId="32">
    <w:abstractNumId w:val="19"/>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22C"/>
    <w:rsid w:val="00000603"/>
    <w:rsid w:val="000013DF"/>
    <w:rsid w:val="000036E0"/>
    <w:rsid w:val="0000372F"/>
    <w:rsid w:val="00004D12"/>
    <w:rsid w:val="000051B1"/>
    <w:rsid w:val="000054C3"/>
    <w:rsid w:val="00006F22"/>
    <w:rsid w:val="00007FE9"/>
    <w:rsid w:val="0001137D"/>
    <w:rsid w:val="00011882"/>
    <w:rsid w:val="00011DA3"/>
    <w:rsid w:val="00012E7F"/>
    <w:rsid w:val="00013EDC"/>
    <w:rsid w:val="00014898"/>
    <w:rsid w:val="00020001"/>
    <w:rsid w:val="00020D2A"/>
    <w:rsid w:val="00020DC1"/>
    <w:rsid w:val="00023785"/>
    <w:rsid w:val="0002492D"/>
    <w:rsid w:val="000261BD"/>
    <w:rsid w:val="000263D2"/>
    <w:rsid w:val="000276E5"/>
    <w:rsid w:val="00030AED"/>
    <w:rsid w:val="000312FA"/>
    <w:rsid w:val="00032C43"/>
    <w:rsid w:val="00032C5C"/>
    <w:rsid w:val="00034380"/>
    <w:rsid w:val="0003663C"/>
    <w:rsid w:val="00037432"/>
    <w:rsid w:val="00040D8A"/>
    <w:rsid w:val="000417FD"/>
    <w:rsid w:val="00045B50"/>
    <w:rsid w:val="000468D3"/>
    <w:rsid w:val="00046CF4"/>
    <w:rsid w:val="00046F19"/>
    <w:rsid w:val="00046F67"/>
    <w:rsid w:val="000505F1"/>
    <w:rsid w:val="0005080F"/>
    <w:rsid w:val="0005121B"/>
    <w:rsid w:val="00051372"/>
    <w:rsid w:val="00052A3A"/>
    <w:rsid w:val="00054E6C"/>
    <w:rsid w:val="00055DBA"/>
    <w:rsid w:val="00055DC6"/>
    <w:rsid w:val="00056E91"/>
    <w:rsid w:val="00060BA9"/>
    <w:rsid w:val="00061B01"/>
    <w:rsid w:val="0006481F"/>
    <w:rsid w:val="00064E31"/>
    <w:rsid w:val="0006650A"/>
    <w:rsid w:val="000701F8"/>
    <w:rsid w:val="00070F90"/>
    <w:rsid w:val="00072A00"/>
    <w:rsid w:val="000732FE"/>
    <w:rsid w:val="000745D8"/>
    <w:rsid w:val="00074EA4"/>
    <w:rsid w:val="00075E7C"/>
    <w:rsid w:val="000768CB"/>
    <w:rsid w:val="00076EF1"/>
    <w:rsid w:val="00077250"/>
    <w:rsid w:val="0007777D"/>
    <w:rsid w:val="000819CB"/>
    <w:rsid w:val="0008238E"/>
    <w:rsid w:val="00082494"/>
    <w:rsid w:val="00083ACF"/>
    <w:rsid w:val="00083FE4"/>
    <w:rsid w:val="00084820"/>
    <w:rsid w:val="0009133A"/>
    <w:rsid w:val="0009151F"/>
    <w:rsid w:val="00092853"/>
    <w:rsid w:val="00093AD0"/>
    <w:rsid w:val="00093F47"/>
    <w:rsid w:val="000A48D8"/>
    <w:rsid w:val="000A4E4B"/>
    <w:rsid w:val="000A57F1"/>
    <w:rsid w:val="000A7494"/>
    <w:rsid w:val="000B0185"/>
    <w:rsid w:val="000B13F1"/>
    <w:rsid w:val="000B1FDC"/>
    <w:rsid w:val="000B2261"/>
    <w:rsid w:val="000B3065"/>
    <w:rsid w:val="000B3FA0"/>
    <w:rsid w:val="000B4692"/>
    <w:rsid w:val="000B54CD"/>
    <w:rsid w:val="000B5BBC"/>
    <w:rsid w:val="000B6A30"/>
    <w:rsid w:val="000B6D8D"/>
    <w:rsid w:val="000C0ABE"/>
    <w:rsid w:val="000C3426"/>
    <w:rsid w:val="000D1873"/>
    <w:rsid w:val="000D211E"/>
    <w:rsid w:val="000D3F50"/>
    <w:rsid w:val="000D4BAD"/>
    <w:rsid w:val="000D6D09"/>
    <w:rsid w:val="000D7179"/>
    <w:rsid w:val="000D76B5"/>
    <w:rsid w:val="000D776A"/>
    <w:rsid w:val="000E0C1D"/>
    <w:rsid w:val="000E317A"/>
    <w:rsid w:val="000E33B6"/>
    <w:rsid w:val="000E37DA"/>
    <w:rsid w:val="000E4F38"/>
    <w:rsid w:val="000F2400"/>
    <w:rsid w:val="000F287A"/>
    <w:rsid w:val="000F47B4"/>
    <w:rsid w:val="000F5D50"/>
    <w:rsid w:val="000F77B1"/>
    <w:rsid w:val="00100350"/>
    <w:rsid w:val="001004CD"/>
    <w:rsid w:val="00100B48"/>
    <w:rsid w:val="00100CA4"/>
    <w:rsid w:val="00102FBE"/>
    <w:rsid w:val="00104619"/>
    <w:rsid w:val="001046A8"/>
    <w:rsid w:val="00106EA8"/>
    <w:rsid w:val="00107960"/>
    <w:rsid w:val="00107B94"/>
    <w:rsid w:val="00110434"/>
    <w:rsid w:val="001107CE"/>
    <w:rsid w:val="00110F88"/>
    <w:rsid w:val="00115088"/>
    <w:rsid w:val="00117307"/>
    <w:rsid w:val="0011785C"/>
    <w:rsid w:val="001208E2"/>
    <w:rsid w:val="0012361E"/>
    <w:rsid w:val="00124CE8"/>
    <w:rsid w:val="00133045"/>
    <w:rsid w:val="00134049"/>
    <w:rsid w:val="0013565D"/>
    <w:rsid w:val="00137546"/>
    <w:rsid w:val="001379CB"/>
    <w:rsid w:val="00140340"/>
    <w:rsid w:val="00143609"/>
    <w:rsid w:val="001446B5"/>
    <w:rsid w:val="0014652D"/>
    <w:rsid w:val="00147DA1"/>
    <w:rsid w:val="00147EF9"/>
    <w:rsid w:val="001501E6"/>
    <w:rsid w:val="00150B0E"/>
    <w:rsid w:val="00153EEA"/>
    <w:rsid w:val="00154E02"/>
    <w:rsid w:val="00155B6E"/>
    <w:rsid w:val="00156D2D"/>
    <w:rsid w:val="0015742E"/>
    <w:rsid w:val="00161286"/>
    <w:rsid w:val="00161874"/>
    <w:rsid w:val="00161F91"/>
    <w:rsid w:val="00163AD3"/>
    <w:rsid w:val="00164625"/>
    <w:rsid w:val="00164746"/>
    <w:rsid w:val="00171284"/>
    <w:rsid w:val="00174EC1"/>
    <w:rsid w:val="00175964"/>
    <w:rsid w:val="001769AD"/>
    <w:rsid w:val="001774B2"/>
    <w:rsid w:val="0017776A"/>
    <w:rsid w:val="00181BA1"/>
    <w:rsid w:val="001843D4"/>
    <w:rsid w:val="0018465B"/>
    <w:rsid w:val="001866E3"/>
    <w:rsid w:val="00186C84"/>
    <w:rsid w:val="00187908"/>
    <w:rsid w:val="0019084D"/>
    <w:rsid w:val="00190BEA"/>
    <w:rsid w:val="00191568"/>
    <w:rsid w:val="00191BF0"/>
    <w:rsid w:val="001922F0"/>
    <w:rsid w:val="001927C6"/>
    <w:rsid w:val="00193736"/>
    <w:rsid w:val="00193942"/>
    <w:rsid w:val="0019464A"/>
    <w:rsid w:val="00195CEE"/>
    <w:rsid w:val="001A1585"/>
    <w:rsid w:val="001A388A"/>
    <w:rsid w:val="001A4FF9"/>
    <w:rsid w:val="001A55F1"/>
    <w:rsid w:val="001A574B"/>
    <w:rsid w:val="001B0C31"/>
    <w:rsid w:val="001B17E1"/>
    <w:rsid w:val="001B2BF6"/>
    <w:rsid w:val="001B3B75"/>
    <w:rsid w:val="001B4A70"/>
    <w:rsid w:val="001B5F52"/>
    <w:rsid w:val="001C07D0"/>
    <w:rsid w:val="001C0D67"/>
    <w:rsid w:val="001C1494"/>
    <w:rsid w:val="001C2B8D"/>
    <w:rsid w:val="001C3247"/>
    <w:rsid w:val="001C4E60"/>
    <w:rsid w:val="001C4FC3"/>
    <w:rsid w:val="001C64F9"/>
    <w:rsid w:val="001C75C7"/>
    <w:rsid w:val="001C7C2F"/>
    <w:rsid w:val="001C7CCC"/>
    <w:rsid w:val="001D2D79"/>
    <w:rsid w:val="001D4EB1"/>
    <w:rsid w:val="001D5231"/>
    <w:rsid w:val="001D5489"/>
    <w:rsid w:val="001D58D0"/>
    <w:rsid w:val="001E1017"/>
    <w:rsid w:val="001E19AF"/>
    <w:rsid w:val="001E1A9A"/>
    <w:rsid w:val="001E2B76"/>
    <w:rsid w:val="001E36C2"/>
    <w:rsid w:val="001E55FE"/>
    <w:rsid w:val="001F191B"/>
    <w:rsid w:val="001F2CA2"/>
    <w:rsid w:val="001F311B"/>
    <w:rsid w:val="001F4394"/>
    <w:rsid w:val="001F53BE"/>
    <w:rsid w:val="002042F9"/>
    <w:rsid w:val="0020441F"/>
    <w:rsid w:val="0020465E"/>
    <w:rsid w:val="002049B7"/>
    <w:rsid w:val="002052B1"/>
    <w:rsid w:val="002053B8"/>
    <w:rsid w:val="00206BE0"/>
    <w:rsid w:val="00213DD0"/>
    <w:rsid w:val="002145E1"/>
    <w:rsid w:val="00215E3C"/>
    <w:rsid w:val="002253C8"/>
    <w:rsid w:val="00230A15"/>
    <w:rsid w:val="00232547"/>
    <w:rsid w:val="00232763"/>
    <w:rsid w:val="0023292A"/>
    <w:rsid w:val="00235D5E"/>
    <w:rsid w:val="00237300"/>
    <w:rsid w:val="0024001C"/>
    <w:rsid w:val="00241941"/>
    <w:rsid w:val="002441B4"/>
    <w:rsid w:val="002465A1"/>
    <w:rsid w:val="002465A3"/>
    <w:rsid w:val="0024694D"/>
    <w:rsid w:val="002538EE"/>
    <w:rsid w:val="00255CF4"/>
    <w:rsid w:val="002560EB"/>
    <w:rsid w:val="00256D91"/>
    <w:rsid w:val="00257455"/>
    <w:rsid w:val="00260210"/>
    <w:rsid w:val="002607A2"/>
    <w:rsid w:val="00260E59"/>
    <w:rsid w:val="00262452"/>
    <w:rsid w:val="00263A6F"/>
    <w:rsid w:val="0026479A"/>
    <w:rsid w:val="00264CBA"/>
    <w:rsid w:val="002667AF"/>
    <w:rsid w:val="00266A93"/>
    <w:rsid w:val="00267012"/>
    <w:rsid w:val="0027167A"/>
    <w:rsid w:val="00272930"/>
    <w:rsid w:val="0027362C"/>
    <w:rsid w:val="002738CC"/>
    <w:rsid w:val="00274F23"/>
    <w:rsid w:val="00275F45"/>
    <w:rsid w:val="00277412"/>
    <w:rsid w:val="002803E9"/>
    <w:rsid w:val="00280BA1"/>
    <w:rsid w:val="00280FCF"/>
    <w:rsid w:val="00283474"/>
    <w:rsid w:val="00283C9A"/>
    <w:rsid w:val="00286E7C"/>
    <w:rsid w:val="002873E6"/>
    <w:rsid w:val="00290ACC"/>
    <w:rsid w:val="00290EC9"/>
    <w:rsid w:val="00291630"/>
    <w:rsid w:val="0029352D"/>
    <w:rsid w:val="002941EE"/>
    <w:rsid w:val="002A0220"/>
    <w:rsid w:val="002A05F1"/>
    <w:rsid w:val="002A2E08"/>
    <w:rsid w:val="002A333B"/>
    <w:rsid w:val="002A7841"/>
    <w:rsid w:val="002B0603"/>
    <w:rsid w:val="002B1BE0"/>
    <w:rsid w:val="002B3A32"/>
    <w:rsid w:val="002B4762"/>
    <w:rsid w:val="002B6AD6"/>
    <w:rsid w:val="002B6B95"/>
    <w:rsid w:val="002B70D4"/>
    <w:rsid w:val="002B77CB"/>
    <w:rsid w:val="002B7E72"/>
    <w:rsid w:val="002C05C3"/>
    <w:rsid w:val="002C2D59"/>
    <w:rsid w:val="002C6414"/>
    <w:rsid w:val="002C7BF0"/>
    <w:rsid w:val="002D01BB"/>
    <w:rsid w:val="002D03E4"/>
    <w:rsid w:val="002D2CFD"/>
    <w:rsid w:val="002D6776"/>
    <w:rsid w:val="002D7D0C"/>
    <w:rsid w:val="002E029B"/>
    <w:rsid w:val="002E0FC9"/>
    <w:rsid w:val="002E10B2"/>
    <w:rsid w:val="002E12BB"/>
    <w:rsid w:val="002E330B"/>
    <w:rsid w:val="002E36C2"/>
    <w:rsid w:val="002E3FC6"/>
    <w:rsid w:val="002E411E"/>
    <w:rsid w:val="002E528E"/>
    <w:rsid w:val="002E7704"/>
    <w:rsid w:val="002E7771"/>
    <w:rsid w:val="002E7EDB"/>
    <w:rsid w:val="002F00DC"/>
    <w:rsid w:val="002F0F88"/>
    <w:rsid w:val="002F5353"/>
    <w:rsid w:val="002F6DC6"/>
    <w:rsid w:val="002F71D0"/>
    <w:rsid w:val="00302965"/>
    <w:rsid w:val="00306F1F"/>
    <w:rsid w:val="0030708A"/>
    <w:rsid w:val="00310E1F"/>
    <w:rsid w:val="003111F0"/>
    <w:rsid w:val="003114BD"/>
    <w:rsid w:val="00311D3A"/>
    <w:rsid w:val="003169E4"/>
    <w:rsid w:val="00320887"/>
    <w:rsid w:val="00322FFB"/>
    <w:rsid w:val="00323074"/>
    <w:rsid w:val="00327140"/>
    <w:rsid w:val="003307A2"/>
    <w:rsid w:val="00331270"/>
    <w:rsid w:val="003313CB"/>
    <w:rsid w:val="003319D1"/>
    <w:rsid w:val="00333588"/>
    <w:rsid w:val="003351BE"/>
    <w:rsid w:val="00335B72"/>
    <w:rsid w:val="003369D5"/>
    <w:rsid w:val="00336C6A"/>
    <w:rsid w:val="00337331"/>
    <w:rsid w:val="00337C91"/>
    <w:rsid w:val="003443B9"/>
    <w:rsid w:val="0034738E"/>
    <w:rsid w:val="00355B53"/>
    <w:rsid w:val="0035692A"/>
    <w:rsid w:val="00357AFD"/>
    <w:rsid w:val="0036326D"/>
    <w:rsid w:val="003639F9"/>
    <w:rsid w:val="00375D9E"/>
    <w:rsid w:val="0037694F"/>
    <w:rsid w:val="003806F3"/>
    <w:rsid w:val="00381533"/>
    <w:rsid w:val="00383A2C"/>
    <w:rsid w:val="0038631D"/>
    <w:rsid w:val="00386897"/>
    <w:rsid w:val="00387799"/>
    <w:rsid w:val="00390942"/>
    <w:rsid w:val="00392368"/>
    <w:rsid w:val="003946AD"/>
    <w:rsid w:val="00394D59"/>
    <w:rsid w:val="0039522E"/>
    <w:rsid w:val="003959B0"/>
    <w:rsid w:val="003A06AC"/>
    <w:rsid w:val="003A0EF4"/>
    <w:rsid w:val="003A1F6B"/>
    <w:rsid w:val="003A31CD"/>
    <w:rsid w:val="003A3701"/>
    <w:rsid w:val="003A448D"/>
    <w:rsid w:val="003A4FC8"/>
    <w:rsid w:val="003A66EA"/>
    <w:rsid w:val="003A6707"/>
    <w:rsid w:val="003A6A75"/>
    <w:rsid w:val="003A7709"/>
    <w:rsid w:val="003B1B12"/>
    <w:rsid w:val="003B308D"/>
    <w:rsid w:val="003B5552"/>
    <w:rsid w:val="003C0D4D"/>
    <w:rsid w:val="003C3575"/>
    <w:rsid w:val="003C3D74"/>
    <w:rsid w:val="003C5ACF"/>
    <w:rsid w:val="003C6AE1"/>
    <w:rsid w:val="003C7A29"/>
    <w:rsid w:val="003C7E5D"/>
    <w:rsid w:val="003D0934"/>
    <w:rsid w:val="003D150E"/>
    <w:rsid w:val="003D175C"/>
    <w:rsid w:val="003D1FB3"/>
    <w:rsid w:val="003D2DB9"/>
    <w:rsid w:val="003D5FCF"/>
    <w:rsid w:val="003E4ABB"/>
    <w:rsid w:val="003E4B2D"/>
    <w:rsid w:val="003E603F"/>
    <w:rsid w:val="003E649C"/>
    <w:rsid w:val="003E67D7"/>
    <w:rsid w:val="003E776E"/>
    <w:rsid w:val="003E7E8D"/>
    <w:rsid w:val="003E7F84"/>
    <w:rsid w:val="003F067C"/>
    <w:rsid w:val="003F194B"/>
    <w:rsid w:val="003F3941"/>
    <w:rsid w:val="003F3C9D"/>
    <w:rsid w:val="003F50C0"/>
    <w:rsid w:val="003F6540"/>
    <w:rsid w:val="004019DB"/>
    <w:rsid w:val="004027EA"/>
    <w:rsid w:val="00404F4A"/>
    <w:rsid w:val="004053B6"/>
    <w:rsid w:val="00407BA6"/>
    <w:rsid w:val="0041193D"/>
    <w:rsid w:val="00412505"/>
    <w:rsid w:val="0041274C"/>
    <w:rsid w:val="00413463"/>
    <w:rsid w:val="00413554"/>
    <w:rsid w:val="00413BAE"/>
    <w:rsid w:val="00414285"/>
    <w:rsid w:val="00421E20"/>
    <w:rsid w:val="004249D9"/>
    <w:rsid w:val="004249F1"/>
    <w:rsid w:val="004319F5"/>
    <w:rsid w:val="0043357A"/>
    <w:rsid w:val="004338C3"/>
    <w:rsid w:val="0043442B"/>
    <w:rsid w:val="0043512F"/>
    <w:rsid w:val="004427AF"/>
    <w:rsid w:val="00444D3C"/>
    <w:rsid w:val="00456CB5"/>
    <w:rsid w:val="0046031E"/>
    <w:rsid w:val="00460AD9"/>
    <w:rsid w:val="00460C5B"/>
    <w:rsid w:val="004616CF"/>
    <w:rsid w:val="00462718"/>
    <w:rsid w:val="00463915"/>
    <w:rsid w:val="00464E54"/>
    <w:rsid w:val="004661AD"/>
    <w:rsid w:val="0047106F"/>
    <w:rsid w:val="00472A3B"/>
    <w:rsid w:val="00472E24"/>
    <w:rsid w:val="00474465"/>
    <w:rsid w:val="00475EDF"/>
    <w:rsid w:val="00476DBF"/>
    <w:rsid w:val="00480052"/>
    <w:rsid w:val="00480ACC"/>
    <w:rsid w:val="00480E02"/>
    <w:rsid w:val="00480F5A"/>
    <w:rsid w:val="0048227F"/>
    <w:rsid w:val="004828B8"/>
    <w:rsid w:val="004829E0"/>
    <w:rsid w:val="004842A7"/>
    <w:rsid w:val="004853C8"/>
    <w:rsid w:val="00490F64"/>
    <w:rsid w:val="00494449"/>
    <w:rsid w:val="0049739B"/>
    <w:rsid w:val="0049768C"/>
    <w:rsid w:val="004A0088"/>
    <w:rsid w:val="004A236E"/>
    <w:rsid w:val="004A5195"/>
    <w:rsid w:val="004A54C7"/>
    <w:rsid w:val="004A5EFF"/>
    <w:rsid w:val="004A6BF8"/>
    <w:rsid w:val="004A7B4E"/>
    <w:rsid w:val="004B3EB7"/>
    <w:rsid w:val="004B5132"/>
    <w:rsid w:val="004B6EA7"/>
    <w:rsid w:val="004B780E"/>
    <w:rsid w:val="004B7DC1"/>
    <w:rsid w:val="004B7EC0"/>
    <w:rsid w:val="004C00E9"/>
    <w:rsid w:val="004C03E2"/>
    <w:rsid w:val="004C0E5C"/>
    <w:rsid w:val="004C20E0"/>
    <w:rsid w:val="004C2ED6"/>
    <w:rsid w:val="004C6DC9"/>
    <w:rsid w:val="004D04E7"/>
    <w:rsid w:val="004D0FAC"/>
    <w:rsid w:val="004D2541"/>
    <w:rsid w:val="004D3EF1"/>
    <w:rsid w:val="004D5FDE"/>
    <w:rsid w:val="004E15B6"/>
    <w:rsid w:val="004E1920"/>
    <w:rsid w:val="004E1DC9"/>
    <w:rsid w:val="004E373B"/>
    <w:rsid w:val="004E4EF4"/>
    <w:rsid w:val="004E5154"/>
    <w:rsid w:val="004E6575"/>
    <w:rsid w:val="004E79BF"/>
    <w:rsid w:val="004F0AFF"/>
    <w:rsid w:val="004F1178"/>
    <w:rsid w:val="004F5F00"/>
    <w:rsid w:val="004F6CD2"/>
    <w:rsid w:val="005003A9"/>
    <w:rsid w:val="00501597"/>
    <w:rsid w:val="0050209F"/>
    <w:rsid w:val="00503848"/>
    <w:rsid w:val="005041DA"/>
    <w:rsid w:val="00504C80"/>
    <w:rsid w:val="0050562C"/>
    <w:rsid w:val="00505B49"/>
    <w:rsid w:val="00506327"/>
    <w:rsid w:val="00506B0A"/>
    <w:rsid w:val="00507301"/>
    <w:rsid w:val="00507D21"/>
    <w:rsid w:val="00510EA8"/>
    <w:rsid w:val="005112FB"/>
    <w:rsid w:val="00511C1A"/>
    <w:rsid w:val="0051337A"/>
    <w:rsid w:val="00513891"/>
    <w:rsid w:val="005156CF"/>
    <w:rsid w:val="00517BFA"/>
    <w:rsid w:val="00521C80"/>
    <w:rsid w:val="005241A1"/>
    <w:rsid w:val="0052465B"/>
    <w:rsid w:val="00525125"/>
    <w:rsid w:val="00526989"/>
    <w:rsid w:val="005306F3"/>
    <w:rsid w:val="00531909"/>
    <w:rsid w:val="00533AB5"/>
    <w:rsid w:val="005347C4"/>
    <w:rsid w:val="00534D46"/>
    <w:rsid w:val="00541D27"/>
    <w:rsid w:val="00542264"/>
    <w:rsid w:val="005475CA"/>
    <w:rsid w:val="005521CF"/>
    <w:rsid w:val="00555489"/>
    <w:rsid w:val="00556524"/>
    <w:rsid w:val="00556907"/>
    <w:rsid w:val="00556D24"/>
    <w:rsid w:val="00556FF9"/>
    <w:rsid w:val="00561D88"/>
    <w:rsid w:val="005638FF"/>
    <w:rsid w:val="00564AB4"/>
    <w:rsid w:val="00565B63"/>
    <w:rsid w:val="00570758"/>
    <w:rsid w:val="005714C6"/>
    <w:rsid w:val="005729BC"/>
    <w:rsid w:val="00573676"/>
    <w:rsid w:val="005746AB"/>
    <w:rsid w:val="00575263"/>
    <w:rsid w:val="0058024B"/>
    <w:rsid w:val="005810BB"/>
    <w:rsid w:val="0058227C"/>
    <w:rsid w:val="005824DB"/>
    <w:rsid w:val="00583A75"/>
    <w:rsid w:val="005856CB"/>
    <w:rsid w:val="005858C9"/>
    <w:rsid w:val="00586839"/>
    <w:rsid w:val="00592185"/>
    <w:rsid w:val="0059255D"/>
    <w:rsid w:val="0059285E"/>
    <w:rsid w:val="00594132"/>
    <w:rsid w:val="005954AA"/>
    <w:rsid w:val="00595CC9"/>
    <w:rsid w:val="0059638A"/>
    <w:rsid w:val="0059708C"/>
    <w:rsid w:val="0059768E"/>
    <w:rsid w:val="005978B2"/>
    <w:rsid w:val="00597EA2"/>
    <w:rsid w:val="005A0620"/>
    <w:rsid w:val="005A0C35"/>
    <w:rsid w:val="005A1185"/>
    <w:rsid w:val="005A18FF"/>
    <w:rsid w:val="005A373D"/>
    <w:rsid w:val="005A3ED0"/>
    <w:rsid w:val="005A4498"/>
    <w:rsid w:val="005A5196"/>
    <w:rsid w:val="005A718D"/>
    <w:rsid w:val="005A7259"/>
    <w:rsid w:val="005B1E63"/>
    <w:rsid w:val="005B30DA"/>
    <w:rsid w:val="005B3CCF"/>
    <w:rsid w:val="005B4521"/>
    <w:rsid w:val="005C0F1B"/>
    <w:rsid w:val="005C5933"/>
    <w:rsid w:val="005C6A89"/>
    <w:rsid w:val="005C6D98"/>
    <w:rsid w:val="005D3AE6"/>
    <w:rsid w:val="005D42E3"/>
    <w:rsid w:val="005D68D4"/>
    <w:rsid w:val="005D6A76"/>
    <w:rsid w:val="005D7C4A"/>
    <w:rsid w:val="005E465C"/>
    <w:rsid w:val="005E56D4"/>
    <w:rsid w:val="005E68D0"/>
    <w:rsid w:val="005E70E2"/>
    <w:rsid w:val="005F0A4D"/>
    <w:rsid w:val="005F10DF"/>
    <w:rsid w:val="005F1B2B"/>
    <w:rsid w:val="005F41DA"/>
    <w:rsid w:val="005F5C45"/>
    <w:rsid w:val="005F5CFE"/>
    <w:rsid w:val="005F6C88"/>
    <w:rsid w:val="005F87C4"/>
    <w:rsid w:val="00600BA0"/>
    <w:rsid w:val="006010D7"/>
    <w:rsid w:val="00601C5C"/>
    <w:rsid w:val="00602B12"/>
    <w:rsid w:val="006046D4"/>
    <w:rsid w:val="00604F34"/>
    <w:rsid w:val="006061AB"/>
    <w:rsid w:val="0060620A"/>
    <w:rsid w:val="006066FD"/>
    <w:rsid w:val="00612625"/>
    <w:rsid w:val="006162B7"/>
    <w:rsid w:val="00617457"/>
    <w:rsid w:val="006174D7"/>
    <w:rsid w:val="00617F32"/>
    <w:rsid w:val="006208ED"/>
    <w:rsid w:val="00621452"/>
    <w:rsid w:val="006227B9"/>
    <w:rsid w:val="00623A13"/>
    <w:rsid w:val="00623E39"/>
    <w:rsid w:val="00623F24"/>
    <w:rsid w:val="006246CA"/>
    <w:rsid w:val="00625BDA"/>
    <w:rsid w:val="00626345"/>
    <w:rsid w:val="006268BE"/>
    <w:rsid w:val="0063088B"/>
    <w:rsid w:val="0063212A"/>
    <w:rsid w:val="006330BF"/>
    <w:rsid w:val="006341DE"/>
    <w:rsid w:val="00634944"/>
    <w:rsid w:val="00636B8F"/>
    <w:rsid w:val="00636EA7"/>
    <w:rsid w:val="00640EDC"/>
    <w:rsid w:val="006413DB"/>
    <w:rsid w:val="0064190E"/>
    <w:rsid w:val="00642188"/>
    <w:rsid w:val="00643F50"/>
    <w:rsid w:val="00644DAE"/>
    <w:rsid w:val="00646F3E"/>
    <w:rsid w:val="00653715"/>
    <w:rsid w:val="00653CC3"/>
    <w:rsid w:val="00655379"/>
    <w:rsid w:val="00656241"/>
    <w:rsid w:val="0066511A"/>
    <w:rsid w:val="006654D3"/>
    <w:rsid w:val="00670F9C"/>
    <w:rsid w:val="0067167F"/>
    <w:rsid w:val="00676D10"/>
    <w:rsid w:val="00676EA5"/>
    <w:rsid w:val="006771ED"/>
    <w:rsid w:val="00680146"/>
    <w:rsid w:val="00680421"/>
    <w:rsid w:val="00681403"/>
    <w:rsid w:val="006844A8"/>
    <w:rsid w:val="00684C52"/>
    <w:rsid w:val="006859B8"/>
    <w:rsid w:val="006871FE"/>
    <w:rsid w:val="006914E3"/>
    <w:rsid w:val="006921ED"/>
    <w:rsid w:val="0069221C"/>
    <w:rsid w:val="006931E5"/>
    <w:rsid w:val="006964B5"/>
    <w:rsid w:val="006966D6"/>
    <w:rsid w:val="00697F4C"/>
    <w:rsid w:val="006A0713"/>
    <w:rsid w:val="006A0F9C"/>
    <w:rsid w:val="006A4684"/>
    <w:rsid w:val="006A4929"/>
    <w:rsid w:val="006A4DA1"/>
    <w:rsid w:val="006A5564"/>
    <w:rsid w:val="006A5623"/>
    <w:rsid w:val="006A626A"/>
    <w:rsid w:val="006A6F9F"/>
    <w:rsid w:val="006B07AB"/>
    <w:rsid w:val="006B2412"/>
    <w:rsid w:val="006B599B"/>
    <w:rsid w:val="006B5BA6"/>
    <w:rsid w:val="006B7128"/>
    <w:rsid w:val="006C28F3"/>
    <w:rsid w:val="006C3334"/>
    <w:rsid w:val="006C49EC"/>
    <w:rsid w:val="006C61E9"/>
    <w:rsid w:val="006C690F"/>
    <w:rsid w:val="006D051D"/>
    <w:rsid w:val="006D136D"/>
    <w:rsid w:val="006D2BA4"/>
    <w:rsid w:val="006D3517"/>
    <w:rsid w:val="006D5110"/>
    <w:rsid w:val="006D529F"/>
    <w:rsid w:val="006D5399"/>
    <w:rsid w:val="006D649E"/>
    <w:rsid w:val="006E025B"/>
    <w:rsid w:val="006E2971"/>
    <w:rsid w:val="006E3151"/>
    <w:rsid w:val="006E3AAA"/>
    <w:rsid w:val="006E3F2E"/>
    <w:rsid w:val="006E440A"/>
    <w:rsid w:val="006E5D33"/>
    <w:rsid w:val="006E6C36"/>
    <w:rsid w:val="006E6E92"/>
    <w:rsid w:val="006F061E"/>
    <w:rsid w:val="006F45D3"/>
    <w:rsid w:val="006F4DE6"/>
    <w:rsid w:val="006F5EED"/>
    <w:rsid w:val="006F758B"/>
    <w:rsid w:val="007007DB"/>
    <w:rsid w:val="007017AB"/>
    <w:rsid w:val="00701B9C"/>
    <w:rsid w:val="00702BCA"/>
    <w:rsid w:val="007034DE"/>
    <w:rsid w:val="0070409A"/>
    <w:rsid w:val="0070580A"/>
    <w:rsid w:val="00706229"/>
    <w:rsid w:val="00710A31"/>
    <w:rsid w:val="00711CB6"/>
    <w:rsid w:val="00714A73"/>
    <w:rsid w:val="00715331"/>
    <w:rsid w:val="007164EF"/>
    <w:rsid w:val="007171DF"/>
    <w:rsid w:val="00723113"/>
    <w:rsid w:val="0072441C"/>
    <w:rsid w:val="007309CA"/>
    <w:rsid w:val="00734F32"/>
    <w:rsid w:val="00742272"/>
    <w:rsid w:val="00742B6D"/>
    <w:rsid w:val="00742FAB"/>
    <w:rsid w:val="00746E4F"/>
    <w:rsid w:val="00751B78"/>
    <w:rsid w:val="00752981"/>
    <w:rsid w:val="0075301A"/>
    <w:rsid w:val="00754C5A"/>
    <w:rsid w:val="00754CD4"/>
    <w:rsid w:val="007602C7"/>
    <w:rsid w:val="007609CA"/>
    <w:rsid w:val="00760B44"/>
    <w:rsid w:val="00760D69"/>
    <w:rsid w:val="00761404"/>
    <w:rsid w:val="0076158F"/>
    <w:rsid w:val="00764D27"/>
    <w:rsid w:val="00764DB3"/>
    <w:rsid w:val="007714FB"/>
    <w:rsid w:val="007717E0"/>
    <w:rsid w:val="00772464"/>
    <w:rsid w:val="00773D4B"/>
    <w:rsid w:val="0077464C"/>
    <w:rsid w:val="00775BD4"/>
    <w:rsid w:val="007774E5"/>
    <w:rsid w:val="00780E04"/>
    <w:rsid w:val="007817CE"/>
    <w:rsid w:val="0078189C"/>
    <w:rsid w:val="00782F7C"/>
    <w:rsid w:val="007840D6"/>
    <w:rsid w:val="00784FDD"/>
    <w:rsid w:val="0078621B"/>
    <w:rsid w:val="0078667A"/>
    <w:rsid w:val="007923DD"/>
    <w:rsid w:val="00793258"/>
    <w:rsid w:val="00795C34"/>
    <w:rsid w:val="007A3CEC"/>
    <w:rsid w:val="007A497B"/>
    <w:rsid w:val="007A539B"/>
    <w:rsid w:val="007A58AA"/>
    <w:rsid w:val="007A79A3"/>
    <w:rsid w:val="007B0073"/>
    <w:rsid w:val="007B3E6B"/>
    <w:rsid w:val="007B559A"/>
    <w:rsid w:val="007B57DE"/>
    <w:rsid w:val="007B6CCB"/>
    <w:rsid w:val="007C01F9"/>
    <w:rsid w:val="007C1EE9"/>
    <w:rsid w:val="007C209F"/>
    <w:rsid w:val="007C2121"/>
    <w:rsid w:val="007C4115"/>
    <w:rsid w:val="007C4F28"/>
    <w:rsid w:val="007C674D"/>
    <w:rsid w:val="007C67AE"/>
    <w:rsid w:val="007C7847"/>
    <w:rsid w:val="007D06AA"/>
    <w:rsid w:val="007D58E4"/>
    <w:rsid w:val="007D74FF"/>
    <w:rsid w:val="007D7823"/>
    <w:rsid w:val="007D7E84"/>
    <w:rsid w:val="007E1E39"/>
    <w:rsid w:val="007E3503"/>
    <w:rsid w:val="007E44BD"/>
    <w:rsid w:val="007E4679"/>
    <w:rsid w:val="007E4AE6"/>
    <w:rsid w:val="007E551F"/>
    <w:rsid w:val="007E5B5E"/>
    <w:rsid w:val="007E77BC"/>
    <w:rsid w:val="007F0EC6"/>
    <w:rsid w:val="007F242B"/>
    <w:rsid w:val="007F5477"/>
    <w:rsid w:val="007F5DFA"/>
    <w:rsid w:val="007F7169"/>
    <w:rsid w:val="00800C75"/>
    <w:rsid w:val="00801186"/>
    <w:rsid w:val="00802C1F"/>
    <w:rsid w:val="00802CFA"/>
    <w:rsid w:val="00804944"/>
    <w:rsid w:val="0080498F"/>
    <w:rsid w:val="008062D6"/>
    <w:rsid w:val="00810583"/>
    <w:rsid w:val="00811EAC"/>
    <w:rsid w:val="0081266C"/>
    <w:rsid w:val="00820F3C"/>
    <w:rsid w:val="00820F45"/>
    <w:rsid w:val="008218A9"/>
    <w:rsid w:val="0082343C"/>
    <w:rsid w:val="00823B34"/>
    <w:rsid w:val="00824939"/>
    <w:rsid w:val="00824C90"/>
    <w:rsid w:val="00825837"/>
    <w:rsid w:val="0083075C"/>
    <w:rsid w:val="00831DA9"/>
    <w:rsid w:val="00833565"/>
    <w:rsid w:val="008343EA"/>
    <w:rsid w:val="00834804"/>
    <w:rsid w:val="008348F8"/>
    <w:rsid w:val="00834F76"/>
    <w:rsid w:val="00835A22"/>
    <w:rsid w:val="00836789"/>
    <w:rsid w:val="00844180"/>
    <w:rsid w:val="00846120"/>
    <w:rsid w:val="00847119"/>
    <w:rsid w:val="00847DED"/>
    <w:rsid w:val="0085423F"/>
    <w:rsid w:val="008562E2"/>
    <w:rsid w:val="00857EAF"/>
    <w:rsid w:val="00863E7F"/>
    <w:rsid w:val="00863F94"/>
    <w:rsid w:val="00863FE2"/>
    <w:rsid w:val="00866478"/>
    <w:rsid w:val="00866FE5"/>
    <w:rsid w:val="00867935"/>
    <w:rsid w:val="008708EC"/>
    <w:rsid w:val="0087216D"/>
    <w:rsid w:val="00872386"/>
    <w:rsid w:val="00872B21"/>
    <w:rsid w:val="00873969"/>
    <w:rsid w:val="00873FE0"/>
    <w:rsid w:val="00875781"/>
    <w:rsid w:val="00875C80"/>
    <w:rsid w:val="00876BE2"/>
    <w:rsid w:val="00877CE2"/>
    <w:rsid w:val="008804AA"/>
    <w:rsid w:val="00880E73"/>
    <w:rsid w:val="0088236C"/>
    <w:rsid w:val="00882BC0"/>
    <w:rsid w:val="008830A4"/>
    <w:rsid w:val="00884E53"/>
    <w:rsid w:val="00893533"/>
    <w:rsid w:val="00894A55"/>
    <w:rsid w:val="0089538E"/>
    <w:rsid w:val="00896044"/>
    <w:rsid w:val="00897376"/>
    <w:rsid w:val="0089754D"/>
    <w:rsid w:val="00897B06"/>
    <w:rsid w:val="008A258A"/>
    <w:rsid w:val="008A2F5E"/>
    <w:rsid w:val="008A48BD"/>
    <w:rsid w:val="008A5B2A"/>
    <w:rsid w:val="008A6A97"/>
    <w:rsid w:val="008A6F97"/>
    <w:rsid w:val="008B0540"/>
    <w:rsid w:val="008B11F4"/>
    <w:rsid w:val="008B1D81"/>
    <w:rsid w:val="008B3600"/>
    <w:rsid w:val="008B3B95"/>
    <w:rsid w:val="008B486C"/>
    <w:rsid w:val="008B4B82"/>
    <w:rsid w:val="008B5179"/>
    <w:rsid w:val="008B6BB0"/>
    <w:rsid w:val="008C0926"/>
    <w:rsid w:val="008C1831"/>
    <w:rsid w:val="008C1956"/>
    <w:rsid w:val="008C1ECE"/>
    <w:rsid w:val="008C2611"/>
    <w:rsid w:val="008C283A"/>
    <w:rsid w:val="008C6613"/>
    <w:rsid w:val="008C7682"/>
    <w:rsid w:val="008C7C78"/>
    <w:rsid w:val="008D0222"/>
    <w:rsid w:val="008D0BC1"/>
    <w:rsid w:val="008D1D73"/>
    <w:rsid w:val="008D314A"/>
    <w:rsid w:val="008D5B17"/>
    <w:rsid w:val="008D670D"/>
    <w:rsid w:val="008E061D"/>
    <w:rsid w:val="008E08CE"/>
    <w:rsid w:val="008E0F1F"/>
    <w:rsid w:val="008E0FC2"/>
    <w:rsid w:val="008E1C25"/>
    <w:rsid w:val="008E2666"/>
    <w:rsid w:val="008E3B98"/>
    <w:rsid w:val="008E6D48"/>
    <w:rsid w:val="008E70D7"/>
    <w:rsid w:val="008E7FA0"/>
    <w:rsid w:val="008F1F71"/>
    <w:rsid w:val="008F2EC3"/>
    <w:rsid w:val="008F3996"/>
    <w:rsid w:val="008F477D"/>
    <w:rsid w:val="008F482A"/>
    <w:rsid w:val="008F4AF8"/>
    <w:rsid w:val="008F6184"/>
    <w:rsid w:val="008F6535"/>
    <w:rsid w:val="008F7A59"/>
    <w:rsid w:val="008F7AC7"/>
    <w:rsid w:val="00902B2D"/>
    <w:rsid w:val="009039C3"/>
    <w:rsid w:val="00903B4B"/>
    <w:rsid w:val="00904306"/>
    <w:rsid w:val="009063A9"/>
    <w:rsid w:val="00910332"/>
    <w:rsid w:val="00910F6E"/>
    <w:rsid w:val="009117B6"/>
    <w:rsid w:val="00912A1C"/>
    <w:rsid w:val="0091323D"/>
    <w:rsid w:val="00913B78"/>
    <w:rsid w:val="00914006"/>
    <w:rsid w:val="0091452A"/>
    <w:rsid w:val="00920CD1"/>
    <w:rsid w:val="00920F62"/>
    <w:rsid w:val="00923216"/>
    <w:rsid w:val="00923810"/>
    <w:rsid w:val="0092404C"/>
    <w:rsid w:val="00924088"/>
    <w:rsid w:val="00925B6D"/>
    <w:rsid w:val="00926A3E"/>
    <w:rsid w:val="00926B56"/>
    <w:rsid w:val="00927957"/>
    <w:rsid w:val="009303B8"/>
    <w:rsid w:val="00932004"/>
    <w:rsid w:val="0093330F"/>
    <w:rsid w:val="009340D8"/>
    <w:rsid w:val="00935BCA"/>
    <w:rsid w:val="00935C6A"/>
    <w:rsid w:val="0093772B"/>
    <w:rsid w:val="00937AE7"/>
    <w:rsid w:val="00937D58"/>
    <w:rsid w:val="00937FBB"/>
    <w:rsid w:val="009442DF"/>
    <w:rsid w:val="009449F8"/>
    <w:rsid w:val="009458FC"/>
    <w:rsid w:val="0094741C"/>
    <w:rsid w:val="009475F6"/>
    <w:rsid w:val="00952355"/>
    <w:rsid w:val="00952637"/>
    <w:rsid w:val="00952773"/>
    <w:rsid w:val="009532B5"/>
    <w:rsid w:val="009549D3"/>
    <w:rsid w:val="00954D6C"/>
    <w:rsid w:val="00954FE9"/>
    <w:rsid w:val="009550E7"/>
    <w:rsid w:val="00955617"/>
    <w:rsid w:val="009562DE"/>
    <w:rsid w:val="00956459"/>
    <w:rsid w:val="00963165"/>
    <w:rsid w:val="00963991"/>
    <w:rsid w:val="0096497E"/>
    <w:rsid w:val="00964E6B"/>
    <w:rsid w:val="00966928"/>
    <w:rsid w:val="009671CF"/>
    <w:rsid w:val="009712D1"/>
    <w:rsid w:val="00972CDB"/>
    <w:rsid w:val="009735C6"/>
    <w:rsid w:val="00973E36"/>
    <w:rsid w:val="00974E27"/>
    <w:rsid w:val="00977252"/>
    <w:rsid w:val="00977B29"/>
    <w:rsid w:val="009812ED"/>
    <w:rsid w:val="009813D5"/>
    <w:rsid w:val="00982443"/>
    <w:rsid w:val="00982F17"/>
    <w:rsid w:val="009846A3"/>
    <w:rsid w:val="00984C10"/>
    <w:rsid w:val="00986A48"/>
    <w:rsid w:val="00987046"/>
    <w:rsid w:val="0099005E"/>
    <w:rsid w:val="009903E8"/>
    <w:rsid w:val="00990C69"/>
    <w:rsid w:val="0099108D"/>
    <w:rsid w:val="009933A7"/>
    <w:rsid w:val="009958B0"/>
    <w:rsid w:val="00997A5B"/>
    <w:rsid w:val="00997ED3"/>
    <w:rsid w:val="009A07A6"/>
    <w:rsid w:val="009A11A6"/>
    <w:rsid w:val="009A3A6C"/>
    <w:rsid w:val="009A44D3"/>
    <w:rsid w:val="009A4723"/>
    <w:rsid w:val="009A4A26"/>
    <w:rsid w:val="009A5687"/>
    <w:rsid w:val="009A591F"/>
    <w:rsid w:val="009A6C47"/>
    <w:rsid w:val="009A752F"/>
    <w:rsid w:val="009A75E6"/>
    <w:rsid w:val="009B0909"/>
    <w:rsid w:val="009B0EEB"/>
    <w:rsid w:val="009B1705"/>
    <w:rsid w:val="009B24DB"/>
    <w:rsid w:val="009B3A49"/>
    <w:rsid w:val="009B4796"/>
    <w:rsid w:val="009B6E36"/>
    <w:rsid w:val="009B76C0"/>
    <w:rsid w:val="009B793A"/>
    <w:rsid w:val="009B7A12"/>
    <w:rsid w:val="009C00AA"/>
    <w:rsid w:val="009C26B3"/>
    <w:rsid w:val="009C382E"/>
    <w:rsid w:val="009C39F0"/>
    <w:rsid w:val="009C595D"/>
    <w:rsid w:val="009C5AED"/>
    <w:rsid w:val="009D0A65"/>
    <w:rsid w:val="009D1A45"/>
    <w:rsid w:val="009D1FA3"/>
    <w:rsid w:val="009D21C3"/>
    <w:rsid w:val="009D2F9D"/>
    <w:rsid w:val="009D3A4F"/>
    <w:rsid w:val="009D3FBF"/>
    <w:rsid w:val="009D6C60"/>
    <w:rsid w:val="009D75EB"/>
    <w:rsid w:val="009D7CC1"/>
    <w:rsid w:val="009E017C"/>
    <w:rsid w:val="009E0B93"/>
    <w:rsid w:val="009E160D"/>
    <w:rsid w:val="009E177C"/>
    <w:rsid w:val="009E2C5B"/>
    <w:rsid w:val="009E3820"/>
    <w:rsid w:val="009E475A"/>
    <w:rsid w:val="009E70F9"/>
    <w:rsid w:val="009E7798"/>
    <w:rsid w:val="009E7CA4"/>
    <w:rsid w:val="009E7D59"/>
    <w:rsid w:val="009E7FA3"/>
    <w:rsid w:val="009F1559"/>
    <w:rsid w:val="009F2732"/>
    <w:rsid w:val="009F3D6A"/>
    <w:rsid w:val="009F46AE"/>
    <w:rsid w:val="009F66ED"/>
    <w:rsid w:val="009F6D8E"/>
    <w:rsid w:val="009F7F1A"/>
    <w:rsid w:val="00A00EB9"/>
    <w:rsid w:val="00A030ED"/>
    <w:rsid w:val="00A048FD"/>
    <w:rsid w:val="00A051CA"/>
    <w:rsid w:val="00A05725"/>
    <w:rsid w:val="00A05A98"/>
    <w:rsid w:val="00A05D02"/>
    <w:rsid w:val="00A0740C"/>
    <w:rsid w:val="00A1097F"/>
    <w:rsid w:val="00A124D4"/>
    <w:rsid w:val="00A13269"/>
    <w:rsid w:val="00A13426"/>
    <w:rsid w:val="00A13BED"/>
    <w:rsid w:val="00A13E43"/>
    <w:rsid w:val="00A1507D"/>
    <w:rsid w:val="00A15E64"/>
    <w:rsid w:val="00A171D2"/>
    <w:rsid w:val="00A17516"/>
    <w:rsid w:val="00A20BF4"/>
    <w:rsid w:val="00A23741"/>
    <w:rsid w:val="00A23C25"/>
    <w:rsid w:val="00A24394"/>
    <w:rsid w:val="00A243D6"/>
    <w:rsid w:val="00A254F7"/>
    <w:rsid w:val="00A25D30"/>
    <w:rsid w:val="00A27C3E"/>
    <w:rsid w:val="00A323FE"/>
    <w:rsid w:val="00A33A92"/>
    <w:rsid w:val="00A3572B"/>
    <w:rsid w:val="00A4070E"/>
    <w:rsid w:val="00A42814"/>
    <w:rsid w:val="00A434FC"/>
    <w:rsid w:val="00A43B93"/>
    <w:rsid w:val="00A443E0"/>
    <w:rsid w:val="00A464B6"/>
    <w:rsid w:val="00A47BAF"/>
    <w:rsid w:val="00A51D99"/>
    <w:rsid w:val="00A52BD5"/>
    <w:rsid w:val="00A53BB7"/>
    <w:rsid w:val="00A54785"/>
    <w:rsid w:val="00A54A01"/>
    <w:rsid w:val="00A572D1"/>
    <w:rsid w:val="00A574D2"/>
    <w:rsid w:val="00A5772B"/>
    <w:rsid w:val="00A64087"/>
    <w:rsid w:val="00A65E29"/>
    <w:rsid w:val="00A66D93"/>
    <w:rsid w:val="00A73BD6"/>
    <w:rsid w:val="00A7545F"/>
    <w:rsid w:val="00A75773"/>
    <w:rsid w:val="00A75B7D"/>
    <w:rsid w:val="00A777CA"/>
    <w:rsid w:val="00A8053D"/>
    <w:rsid w:val="00A80DD2"/>
    <w:rsid w:val="00A835C9"/>
    <w:rsid w:val="00A845E5"/>
    <w:rsid w:val="00A84E42"/>
    <w:rsid w:val="00A85F49"/>
    <w:rsid w:val="00A8602F"/>
    <w:rsid w:val="00A86D7C"/>
    <w:rsid w:val="00A87B54"/>
    <w:rsid w:val="00A91D02"/>
    <w:rsid w:val="00A93EDA"/>
    <w:rsid w:val="00A94DDD"/>
    <w:rsid w:val="00A95369"/>
    <w:rsid w:val="00A9799B"/>
    <w:rsid w:val="00A97D4F"/>
    <w:rsid w:val="00AA154A"/>
    <w:rsid w:val="00AA15CA"/>
    <w:rsid w:val="00AA3028"/>
    <w:rsid w:val="00AA36BA"/>
    <w:rsid w:val="00AA36D4"/>
    <w:rsid w:val="00AA5C4F"/>
    <w:rsid w:val="00AA63B2"/>
    <w:rsid w:val="00AA7CA0"/>
    <w:rsid w:val="00AB49F8"/>
    <w:rsid w:val="00AB5186"/>
    <w:rsid w:val="00AB5221"/>
    <w:rsid w:val="00AB6FC9"/>
    <w:rsid w:val="00AB7060"/>
    <w:rsid w:val="00AC129E"/>
    <w:rsid w:val="00AC2030"/>
    <w:rsid w:val="00AC2F1D"/>
    <w:rsid w:val="00AC3456"/>
    <w:rsid w:val="00AC644B"/>
    <w:rsid w:val="00AC77CC"/>
    <w:rsid w:val="00AD4C58"/>
    <w:rsid w:val="00AD565F"/>
    <w:rsid w:val="00AD6220"/>
    <w:rsid w:val="00AD7795"/>
    <w:rsid w:val="00AD7C76"/>
    <w:rsid w:val="00AE0977"/>
    <w:rsid w:val="00AE0BB5"/>
    <w:rsid w:val="00AE0F07"/>
    <w:rsid w:val="00AE10B2"/>
    <w:rsid w:val="00AE2D7B"/>
    <w:rsid w:val="00AE3E58"/>
    <w:rsid w:val="00AE4819"/>
    <w:rsid w:val="00AE6771"/>
    <w:rsid w:val="00AE6AD8"/>
    <w:rsid w:val="00AE747A"/>
    <w:rsid w:val="00AE74C4"/>
    <w:rsid w:val="00AE7E24"/>
    <w:rsid w:val="00AF0A23"/>
    <w:rsid w:val="00AF2F21"/>
    <w:rsid w:val="00AF41C3"/>
    <w:rsid w:val="00AF54FE"/>
    <w:rsid w:val="00B01901"/>
    <w:rsid w:val="00B03730"/>
    <w:rsid w:val="00B058F9"/>
    <w:rsid w:val="00B06DA8"/>
    <w:rsid w:val="00B07FC7"/>
    <w:rsid w:val="00B10606"/>
    <w:rsid w:val="00B12CD4"/>
    <w:rsid w:val="00B13326"/>
    <w:rsid w:val="00B13DD3"/>
    <w:rsid w:val="00B1598C"/>
    <w:rsid w:val="00B20536"/>
    <w:rsid w:val="00B2135F"/>
    <w:rsid w:val="00B217CC"/>
    <w:rsid w:val="00B257F1"/>
    <w:rsid w:val="00B25AB2"/>
    <w:rsid w:val="00B25F11"/>
    <w:rsid w:val="00B27538"/>
    <w:rsid w:val="00B3155C"/>
    <w:rsid w:val="00B324AC"/>
    <w:rsid w:val="00B3467F"/>
    <w:rsid w:val="00B35880"/>
    <w:rsid w:val="00B37413"/>
    <w:rsid w:val="00B406F0"/>
    <w:rsid w:val="00B409A5"/>
    <w:rsid w:val="00B419BE"/>
    <w:rsid w:val="00B42413"/>
    <w:rsid w:val="00B42DC9"/>
    <w:rsid w:val="00B50335"/>
    <w:rsid w:val="00B508A6"/>
    <w:rsid w:val="00B50914"/>
    <w:rsid w:val="00B511C8"/>
    <w:rsid w:val="00B52AB2"/>
    <w:rsid w:val="00B52E3F"/>
    <w:rsid w:val="00B5363C"/>
    <w:rsid w:val="00B57814"/>
    <w:rsid w:val="00B579E1"/>
    <w:rsid w:val="00B60E00"/>
    <w:rsid w:val="00B61312"/>
    <w:rsid w:val="00B62443"/>
    <w:rsid w:val="00B65941"/>
    <w:rsid w:val="00B6716A"/>
    <w:rsid w:val="00B705A2"/>
    <w:rsid w:val="00B7085A"/>
    <w:rsid w:val="00B70A3A"/>
    <w:rsid w:val="00B70E02"/>
    <w:rsid w:val="00B76793"/>
    <w:rsid w:val="00B84396"/>
    <w:rsid w:val="00B84F42"/>
    <w:rsid w:val="00B85368"/>
    <w:rsid w:val="00B862CF"/>
    <w:rsid w:val="00B864D2"/>
    <w:rsid w:val="00B91C04"/>
    <w:rsid w:val="00B91E8B"/>
    <w:rsid w:val="00B91EFD"/>
    <w:rsid w:val="00B94636"/>
    <w:rsid w:val="00B94ACB"/>
    <w:rsid w:val="00BA2D78"/>
    <w:rsid w:val="00BA39A0"/>
    <w:rsid w:val="00BA4407"/>
    <w:rsid w:val="00BA5E21"/>
    <w:rsid w:val="00BB228A"/>
    <w:rsid w:val="00BB5DB0"/>
    <w:rsid w:val="00BB7A8D"/>
    <w:rsid w:val="00BC10B0"/>
    <w:rsid w:val="00BC13B2"/>
    <w:rsid w:val="00BC1D55"/>
    <w:rsid w:val="00BC4F18"/>
    <w:rsid w:val="00BC50E5"/>
    <w:rsid w:val="00BC5E26"/>
    <w:rsid w:val="00BD0CE5"/>
    <w:rsid w:val="00BD225E"/>
    <w:rsid w:val="00BD2783"/>
    <w:rsid w:val="00BD331A"/>
    <w:rsid w:val="00BD4C54"/>
    <w:rsid w:val="00BD4CDC"/>
    <w:rsid w:val="00BD5109"/>
    <w:rsid w:val="00BD6F04"/>
    <w:rsid w:val="00BE16FF"/>
    <w:rsid w:val="00BE184D"/>
    <w:rsid w:val="00BE2C52"/>
    <w:rsid w:val="00BE5B20"/>
    <w:rsid w:val="00BE6774"/>
    <w:rsid w:val="00BE6D6B"/>
    <w:rsid w:val="00BF162F"/>
    <w:rsid w:val="00BF620E"/>
    <w:rsid w:val="00BF7811"/>
    <w:rsid w:val="00C020FC"/>
    <w:rsid w:val="00C033F0"/>
    <w:rsid w:val="00C035AF"/>
    <w:rsid w:val="00C03651"/>
    <w:rsid w:val="00C03A41"/>
    <w:rsid w:val="00C04FBE"/>
    <w:rsid w:val="00C04FC7"/>
    <w:rsid w:val="00C0539B"/>
    <w:rsid w:val="00C061A5"/>
    <w:rsid w:val="00C077D7"/>
    <w:rsid w:val="00C1077F"/>
    <w:rsid w:val="00C11B90"/>
    <w:rsid w:val="00C126DB"/>
    <w:rsid w:val="00C12B18"/>
    <w:rsid w:val="00C12EE7"/>
    <w:rsid w:val="00C13D35"/>
    <w:rsid w:val="00C15FCE"/>
    <w:rsid w:val="00C166AC"/>
    <w:rsid w:val="00C16FDD"/>
    <w:rsid w:val="00C20550"/>
    <w:rsid w:val="00C205F4"/>
    <w:rsid w:val="00C2210D"/>
    <w:rsid w:val="00C2357E"/>
    <w:rsid w:val="00C23FC3"/>
    <w:rsid w:val="00C254AE"/>
    <w:rsid w:val="00C2628B"/>
    <w:rsid w:val="00C265C5"/>
    <w:rsid w:val="00C30B11"/>
    <w:rsid w:val="00C31980"/>
    <w:rsid w:val="00C31C02"/>
    <w:rsid w:val="00C320C8"/>
    <w:rsid w:val="00C32F26"/>
    <w:rsid w:val="00C333C7"/>
    <w:rsid w:val="00C36940"/>
    <w:rsid w:val="00C406F2"/>
    <w:rsid w:val="00C40BB9"/>
    <w:rsid w:val="00C419FA"/>
    <w:rsid w:val="00C41DE5"/>
    <w:rsid w:val="00C41FFB"/>
    <w:rsid w:val="00C432AB"/>
    <w:rsid w:val="00C441D0"/>
    <w:rsid w:val="00C45037"/>
    <w:rsid w:val="00C51496"/>
    <w:rsid w:val="00C52285"/>
    <w:rsid w:val="00C5294A"/>
    <w:rsid w:val="00C5422E"/>
    <w:rsid w:val="00C5444F"/>
    <w:rsid w:val="00C5481B"/>
    <w:rsid w:val="00C549FA"/>
    <w:rsid w:val="00C61169"/>
    <w:rsid w:val="00C61918"/>
    <w:rsid w:val="00C6201C"/>
    <w:rsid w:val="00C62409"/>
    <w:rsid w:val="00C6277A"/>
    <w:rsid w:val="00C63547"/>
    <w:rsid w:val="00C63581"/>
    <w:rsid w:val="00C64EF5"/>
    <w:rsid w:val="00C6698C"/>
    <w:rsid w:val="00C66DEE"/>
    <w:rsid w:val="00C676A4"/>
    <w:rsid w:val="00C67E6D"/>
    <w:rsid w:val="00C7010C"/>
    <w:rsid w:val="00C703DF"/>
    <w:rsid w:val="00C70D85"/>
    <w:rsid w:val="00C7219B"/>
    <w:rsid w:val="00C727B4"/>
    <w:rsid w:val="00C72FD2"/>
    <w:rsid w:val="00C74D15"/>
    <w:rsid w:val="00C74D8D"/>
    <w:rsid w:val="00C8284D"/>
    <w:rsid w:val="00C82CAE"/>
    <w:rsid w:val="00C832B2"/>
    <w:rsid w:val="00C83542"/>
    <w:rsid w:val="00C8651B"/>
    <w:rsid w:val="00C87ABD"/>
    <w:rsid w:val="00C87BD8"/>
    <w:rsid w:val="00C90EFB"/>
    <w:rsid w:val="00C91C5E"/>
    <w:rsid w:val="00C92CB0"/>
    <w:rsid w:val="00C942EC"/>
    <w:rsid w:val="00CA021C"/>
    <w:rsid w:val="00CA0C93"/>
    <w:rsid w:val="00CA179E"/>
    <w:rsid w:val="00CA1D4C"/>
    <w:rsid w:val="00CA261B"/>
    <w:rsid w:val="00CA299E"/>
    <w:rsid w:val="00CA3261"/>
    <w:rsid w:val="00CA4518"/>
    <w:rsid w:val="00CA5403"/>
    <w:rsid w:val="00CA605B"/>
    <w:rsid w:val="00CA7286"/>
    <w:rsid w:val="00CA7ACB"/>
    <w:rsid w:val="00CB0A3B"/>
    <w:rsid w:val="00CB1F2E"/>
    <w:rsid w:val="00CB23CF"/>
    <w:rsid w:val="00CB29F0"/>
    <w:rsid w:val="00CB2EAD"/>
    <w:rsid w:val="00CB36E9"/>
    <w:rsid w:val="00CB3736"/>
    <w:rsid w:val="00CC08AB"/>
    <w:rsid w:val="00CC2721"/>
    <w:rsid w:val="00CC2B5D"/>
    <w:rsid w:val="00CC39CF"/>
    <w:rsid w:val="00CC598C"/>
    <w:rsid w:val="00CC68DE"/>
    <w:rsid w:val="00CD0907"/>
    <w:rsid w:val="00CD1EB6"/>
    <w:rsid w:val="00CD616F"/>
    <w:rsid w:val="00CD6C97"/>
    <w:rsid w:val="00CD7052"/>
    <w:rsid w:val="00CE01FC"/>
    <w:rsid w:val="00CE0303"/>
    <w:rsid w:val="00CE03A1"/>
    <w:rsid w:val="00CE2CFE"/>
    <w:rsid w:val="00CE2FE2"/>
    <w:rsid w:val="00CE3A7A"/>
    <w:rsid w:val="00CE4C10"/>
    <w:rsid w:val="00CE5CA7"/>
    <w:rsid w:val="00CF1935"/>
    <w:rsid w:val="00CF253E"/>
    <w:rsid w:val="00CF678F"/>
    <w:rsid w:val="00CF72F8"/>
    <w:rsid w:val="00D019BD"/>
    <w:rsid w:val="00D03225"/>
    <w:rsid w:val="00D04D9A"/>
    <w:rsid w:val="00D0566E"/>
    <w:rsid w:val="00D05C5C"/>
    <w:rsid w:val="00D07552"/>
    <w:rsid w:val="00D1229C"/>
    <w:rsid w:val="00D13093"/>
    <w:rsid w:val="00D14B71"/>
    <w:rsid w:val="00D1552C"/>
    <w:rsid w:val="00D15E8E"/>
    <w:rsid w:val="00D166D5"/>
    <w:rsid w:val="00D20379"/>
    <w:rsid w:val="00D23CED"/>
    <w:rsid w:val="00D240B8"/>
    <w:rsid w:val="00D25D8B"/>
    <w:rsid w:val="00D25F3C"/>
    <w:rsid w:val="00D27B2A"/>
    <w:rsid w:val="00D27C7D"/>
    <w:rsid w:val="00D33F3F"/>
    <w:rsid w:val="00D3464B"/>
    <w:rsid w:val="00D3507E"/>
    <w:rsid w:val="00D35CA5"/>
    <w:rsid w:val="00D360C1"/>
    <w:rsid w:val="00D3673A"/>
    <w:rsid w:val="00D36972"/>
    <w:rsid w:val="00D36AFA"/>
    <w:rsid w:val="00D43200"/>
    <w:rsid w:val="00D43F75"/>
    <w:rsid w:val="00D44A74"/>
    <w:rsid w:val="00D450CA"/>
    <w:rsid w:val="00D45651"/>
    <w:rsid w:val="00D45795"/>
    <w:rsid w:val="00D46F31"/>
    <w:rsid w:val="00D47970"/>
    <w:rsid w:val="00D508ED"/>
    <w:rsid w:val="00D515AE"/>
    <w:rsid w:val="00D53106"/>
    <w:rsid w:val="00D550BC"/>
    <w:rsid w:val="00D6162A"/>
    <w:rsid w:val="00D61B17"/>
    <w:rsid w:val="00D61CDD"/>
    <w:rsid w:val="00D63620"/>
    <w:rsid w:val="00D672A9"/>
    <w:rsid w:val="00D67643"/>
    <w:rsid w:val="00D7119F"/>
    <w:rsid w:val="00D7190A"/>
    <w:rsid w:val="00D7361C"/>
    <w:rsid w:val="00D75454"/>
    <w:rsid w:val="00D7627A"/>
    <w:rsid w:val="00D7631A"/>
    <w:rsid w:val="00D77271"/>
    <w:rsid w:val="00D77767"/>
    <w:rsid w:val="00D818FE"/>
    <w:rsid w:val="00D81B1C"/>
    <w:rsid w:val="00D82E9E"/>
    <w:rsid w:val="00D84560"/>
    <w:rsid w:val="00D8495D"/>
    <w:rsid w:val="00D858C1"/>
    <w:rsid w:val="00D860F7"/>
    <w:rsid w:val="00D86C75"/>
    <w:rsid w:val="00D86EE9"/>
    <w:rsid w:val="00D92EE1"/>
    <w:rsid w:val="00D95394"/>
    <w:rsid w:val="00D9547B"/>
    <w:rsid w:val="00D96030"/>
    <w:rsid w:val="00D97B45"/>
    <w:rsid w:val="00DA1946"/>
    <w:rsid w:val="00DA27F5"/>
    <w:rsid w:val="00DA3D65"/>
    <w:rsid w:val="00DA3E7C"/>
    <w:rsid w:val="00DA6163"/>
    <w:rsid w:val="00DA650B"/>
    <w:rsid w:val="00DA7A43"/>
    <w:rsid w:val="00DB1379"/>
    <w:rsid w:val="00DB2188"/>
    <w:rsid w:val="00DB3F31"/>
    <w:rsid w:val="00DB4431"/>
    <w:rsid w:val="00DB69BD"/>
    <w:rsid w:val="00DB7AD0"/>
    <w:rsid w:val="00DC007F"/>
    <w:rsid w:val="00DC06D1"/>
    <w:rsid w:val="00DC0D4B"/>
    <w:rsid w:val="00DC1534"/>
    <w:rsid w:val="00DC390C"/>
    <w:rsid w:val="00DC4AB7"/>
    <w:rsid w:val="00DC4BB4"/>
    <w:rsid w:val="00DC5007"/>
    <w:rsid w:val="00DC5345"/>
    <w:rsid w:val="00DD2EF1"/>
    <w:rsid w:val="00DD542C"/>
    <w:rsid w:val="00DD5CCA"/>
    <w:rsid w:val="00DD636E"/>
    <w:rsid w:val="00DD7BA7"/>
    <w:rsid w:val="00DE10CA"/>
    <w:rsid w:val="00DE1979"/>
    <w:rsid w:val="00DE1E53"/>
    <w:rsid w:val="00DE2D88"/>
    <w:rsid w:val="00DE34DC"/>
    <w:rsid w:val="00DE5243"/>
    <w:rsid w:val="00DE55D1"/>
    <w:rsid w:val="00DE5A7A"/>
    <w:rsid w:val="00DE7600"/>
    <w:rsid w:val="00DE7830"/>
    <w:rsid w:val="00DE7BB5"/>
    <w:rsid w:val="00DF1640"/>
    <w:rsid w:val="00DF5B8D"/>
    <w:rsid w:val="00DF6767"/>
    <w:rsid w:val="00DF6E8F"/>
    <w:rsid w:val="00DF709D"/>
    <w:rsid w:val="00DF7267"/>
    <w:rsid w:val="00DF7645"/>
    <w:rsid w:val="00DF7717"/>
    <w:rsid w:val="00E001B9"/>
    <w:rsid w:val="00E01755"/>
    <w:rsid w:val="00E01E2A"/>
    <w:rsid w:val="00E039F5"/>
    <w:rsid w:val="00E04EAD"/>
    <w:rsid w:val="00E05E5F"/>
    <w:rsid w:val="00E065CB"/>
    <w:rsid w:val="00E067BC"/>
    <w:rsid w:val="00E06B9D"/>
    <w:rsid w:val="00E0762F"/>
    <w:rsid w:val="00E07C5A"/>
    <w:rsid w:val="00E10428"/>
    <w:rsid w:val="00E10ED1"/>
    <w:rsid w:val="00E10F22"/>
    <w:rsid w:val="00E1133F"/>
    <w:rsid w:val="00E117C6"/>
    <w:rsid w:val="00E12FED"/>
    <w:rsid w:val="00E14A12"/>
    <w:rsid w:val="00E17CD2"/>
    <w:rsid w:val="00E2102D"/>
    <w:rsid w:val="00E22E53"/>
    <w:rsid w:val="00E2384F"/>
    <w:rsid w:val="00E323B7"/>
    <w:rsid w:val="00E32C2D"/>
    <w:rsid w:val="00E33DE7"/>
    <w:rsid w:val="00E349B9"/>
    <w:rsid w:val="00E372A9"/>
    <w:rsid w:val="00E37330"/>
    <w:rsid w:val="00E37ABD"/>
    <w:rsid w:val="00E42553"/>
    <w:rsid w:val="00E453B7"/>
    <w:rsid w:val="00E45686"/>
    <w:rsid w:val="00E54C5C"/>
    <w:rsid w:val="00E570E4"/>
    <w:rsid w:val="00E57D4E"/>
    <w:rsid w:val="00E60035"/>
    <w:rsid w:val="00E61365"/>
    <w:rsid w:val="00E617B1"/>
    <w:rsid w:val="00E61B2A"/>
    <w:rsid w:val="00E622C9"/>
    <w:rsid w:val="00E62867"/>
    <w:rsid w:val="00E632F0"/>
    <w:rsid w:val="00E657B2"/>
    <w:rsid w:val="00E66047"/>
    <w:rsid w:val="00E70177"/>
    <w:rsid w:val="00E703E9"/>
    <w:rsid w:val="00E71F72"/>
    <w:rsid w:val="00E733CA"/>
    <w:rsid w:val="00E73748"/>
    <w:rsid w:val="00E74172"/>
    <w:rsid w:val="00E74E26"/>
    <w:rsid w:val="00E819A1"/>
    <w:rsid w:val="00E81FC5"/>
    <w:rsid w:val="00E8222C"/>
    <w:rsid w:val="00E82D0F"/>
    <w:rsid w:val="00E851E1"/>
    <w:rsid w:val="00E85C26"/>
    <w:rsid w:val="00E860F7"/>
    <w:rsid w:val="00E9004F"/>
    <w:rsid w:val="00E9105D"/>
    <w:rsid w:val="00E91E56"/>
    <w:rsid w:val="00EA3B2D"/>
    <w:rsid w:val="00EA6C1E"/>
    <w:rsid w:val="00EB304A"/>
    <w:rsid w:val="00EB332C"/>
    <w:rsid w:val="00EB594B"/>
    <w:rsid w:val="00EB6347"/>
    <w:rsid w:val="00EC1423"/>
    <w:rsid w:val="00EC18A4"/>
    <w:rsid w:val="00EC2967"/>
    <w:rsid w:val="00EC3DFD"/>
    <w:rsid w:val="00EC4E94"/>
    <w:rsid w:val="00EC6E1E"/>
    <w:rsid w:val="00ED2869"/>
    <w:rsid w:val="00ED4A6C"/>
    <w:rsid w:val="00ED594A"/>
    <w:rsid w:val="00EE21B1"/>
    <w:rsid w:val="00EE2F0B"/>
    <w:rsid w:val="00EE4720"/>
    <w:rsid w:val="00EE6741"/>
    <w:rsid w:val="00EE7597"/>
    <w:rsid w:val="00EF05F6"/>
    <w:rsid w:val="00EF063E"/>
    <w:rsid w:val="00EF0A86"/>
    <w:rsid w:val="00EF217A"/>
    <w:rsid w:val="00EF4ECA"/>
    <w:rsid w:val="00F005F6"/>
    <w:rsid w:val="00F04D3A"/>
    <w:rsid w:val="00F06AF0"/>
    <w:rsid w:val="00F06D45"/>
    <w:rsid w:val="00F12745"/>
    <w:rsid w:val="00F12876"/>
    <w:rsid w:val="00F1289E"/>
    <w:rsid w:val="00F13F35"/>
    <w:rsid w:val="00F140A6"/>
    <w:rsid w:val="00F15030"/>
    <w:rsid w:val="00F16617"/>
    <w:rsid w:val="00F20915"/>
    <w:rsid w:val="00F21EAC"/>
    <w:rsid w:val="00F226F5"/>
    <w:rsid w:val="00F22859"/>
    <w:rsid w:val="00F22CE3"/>
    <w:rsid w:val="00F252B1"/>
    <w:rsid w:val="00F259A4"/>
    <w:rsid w:val="00F262AE"/>
    <w:rsid w:val="00F26808"/>
    <w:rsid w:val="00F2780C"/>
    <w:rsid w:val="00F30585"/>
    <w:rsid w:val="00F31821"/>
    <w:rsid w:val="00F31E18"/>
    <w:rsid w:val="00F32AB7"/>
    <w:rsid w:val="00F40FBC"/>
    <w:rsid w:val="00F41C0C"/>
    <w:rsid w:val="00F440DC"/>
    <w:rsid w:val="00F45A6E"/>
    <w:rsid w:val="00F46DE5"/>
    <w:rsid w:val="00F47080"/>
    <w:rsid w:val="00F539D2"/>
    <w:rsid w:val="00F54373"/>
    <w:rsid w:val="00F5465E"/>
    <w:rsid w:val="00F573E9"/>
    <w:rsid w:val="00F57EEF"/>
    <w:rsid w:val="00F601FC"/>
    <w:rsid w:val="00F61115"/>
    <w:rsid w:val="00F61D7F"/>
    <w:rsid w:val="00F6295C"/>
    <w:rsid w:val="00F66203"/>
    <w:rsid w:val="00F67D49"/>
    <w:rsid w:val="00F67DF2"/>
    <w:rsid w:val="00F70AD1"/>
    <w:rsid w:val="00F70E14"/>
    <w:rsid w:val="00F712C6"/>
    <w:rsid w:val="00F762CC"/>
    <w:rsid w:val="00F777EA"/>
    <w:rsid w:val="00F806DB"/>
    <w:rsid w:val="00F80A93"/>
    <w:rsid w:val="00F81452"/>
    <w:rsid w:val="00F81666"/>
    <w:rsid w:val="00F8509D"/>
    <w:rsid w:val="00F92D54"/>
    <w:rsid w:val="00F933EE"/>
    <w:rsid w:val="00F93CC3"/>
    <w:rsid w:val="00F94103"/>
    <w:rsid w:val="00F94671"/>
    <w:rsid w:val="00F94F98"/>
    <w:rsid w:val="00F966A2"/>
    <w:rsid w:val="00F97F77"/>
    <w:rsid w:val="00FA0E44"/>
    <w:rsid w:val="00FA1576"/>
    <w:rsid w:val="00FA2520"/>
    <w:rsid w:val="00FA64C0"/>
    <w:rsid w:val="00FB1936"/>
    <w:rsid w:val="00FB1FE6"/>
    <w:rsid w:val="00FB32E0"/>
    <w:rsid w:val="00FB48FE"/>
    <w:rsid w:val="00FB4EED"/>
    <w:rsid w:val="00FB6367"/>
    <w:rsid w:val="00FB6EFD"/>
    <w:rsid w:val="00FB779F"/>
    <w:rsid w:val="00FB7E9E"/>
    <w:rsid w:val="00FC118F"/>
    <w:rsid w:val="00FC6355"/>
    <w:rsid w:val="00FC6684"/>
    <w:rsid w:val="00FC6CFA"/>
    <w:rsid w:val="00FD08B7"/>
    <w:rsid w:val="00FD0BB4"/>
    <w:rsid w:val="00FD258E"/>
    <w:rsid w:val="00FD2D49"/>
    <w:rsid w:val="00FD2ED7"/>
    <w:rsid w:val="00FD4256"/>
    <w:rsid w:val="00FD6EED"/>
    <w:rsid w:val="00FE0836"/>
    <w:rsid w:val="00FE2AF4"/>
    <w:rsid w:val="00FE458B"/>
    <w:rsid w:val="00FE5B62"/>
    <w:rsid w:val="00FE6553"/>
    <w:rsid w:val="01514A75"/>
    <w:rsid w:val="0228E4B4"/>
    <w:rsid w:val="023215EC"/>
    <w:rsid w:val="0249C7D4"/>
    <w:rsid w:val="0255B9A5"/>
    <w:rsid w:val="025B8BCC"/>
    <w:rsid w:val="026D8BB3"/>
    <w:rsid w:val="0281F12A"/>
    <w:rsid w:val="02CD3AC9"/>
    <w:rsid w:val="033706C1"/>
    <w:rsid w:val="03A6FA96"/>
    <w:rsid w:val="03BCC4B4"/>
    <w:rsid w:val="04A9D85B"/>
    <w:rsid w:val="04AA318D"/>
    <w:rsid w:val="0514F627"/>
    <w:rsid w:val="0523C150"/>
    <w:rsid w:val="066C4734"/>
    <w:rsid w:val="0686ED86"/>
    <w:rsid w:val="06B9FA8D"/>
    <w:rsid w:val="06BCE003"/>
    <w:rsid w:val="06BD39C6"/>
    <w:rsid w:val="06F0E7A1"/>
    <w:rsid w:val="0705870F"/>
    <w:rsid w:val="0737D5E9"/>
    <w:rsid w:val="0744DA80"/>
    <w:rsid w:val="077E289F"/>
    <w:rsid w:val="07ADC092"/>
    <w:rsid w:val="08ACE35C"/>
    <w:rsid w:val="08AFB58D"/>
    <w:rsid w:val="08C73DE0"/>
    <w:rsid w:val="08F3C1DA"/>
    <w:rsid w:val="09102CEA"/>
    <w:rsid w:val="0942D291"/>
    <w:rsid w:val="096D6E39"/>
    <w:rsid w:val="09AF9A4A"/>
    <w:rsid w:val="09C2184C"/>
    <w:rsid w:val="0A2D8145"/>
    <w:rsid w:val="0A3D27D1"/>
    <w:rsid w:val="0A5B0ED3"/>
    <w:rsid w:val="0AA668C3"/>
    <w:rsid w:val="0B09B7C1"/>
    <w:rsid w:val="0B60D7F6"/>
    <w:rsid w:val="0BBFCFD5"/>
    <w:rsid w:val="0CB02E31"/>
    <w:rsid w:val="0D055B09"/>
    <w:rsid w:val="0D0DE24C"/>
    <w:rsid w:val="0D8DCB52"/>
    <w:rsid w:val="0E32D635"/>
    <w:rsid w:val="0E866DC3"/>
    <w:rsid w:val="0EC4BF73"/>
    <w:rsid w:val="0ECBCE0B"/>
    <w:rsid w:val="0F3DDA58"/>
    <w:rsid w:val="1057C925"/>
    <w:rsid w:val="10AACA41"/>
    <w:rsid w:val="10B245A7"/>
    <w:rsid w:val="10D5AD40"/>
    <w:rsid w:val="10E1F106"/>
    <w:rsid w:val="10EBD317"/>
    <w:rsid w:val="112249DF"/>
    <w:rsid w:val="11560180"/>
    <w:rsid w:val="1191D535"/>
    <w:rsid w:val="12046E96"/>
    <w:rsid w:val="12342CC5"/>
    <w:rsid w:val="125A5E04"/>
    <w:rsid w:val="126EF511"/>
    <w:rsid w:val="12E9E3F5"/>
    <w:rsid w:val="13064758"/>
    <w:rsid w:val="131A0DD4"/>
    <w:rsid w:val="13A2FE1C"/>
    <w:rsid w:val="14578A05"/>
    <w:rsid w:val="14CECAC5"/>
    <w:rsid w:val="156B3B0A"/>
    <w:rsid w:val="157DCDB1"/>
    <w:rsid w:val="15E38910"/>
    <w:rsid w:val="1641934F"/>
    <w:rsid w:val="168140F0"/>
    <w:rsid w:val="170A65A6"/>
    <w:rsid w:val="17187D0E"/>
    <w:rsid w:val="17D3525A"/>
    <w:rsid w:val="1883CCD5"/>
    <w:rsid w:val="19061927"/>
    <w:rsid w:val="1974AF19"/>
    <w:rsid w:val="1A6F2B3E"/>
    <w:rsid w:val="1AACBC84"/>
    <w:rsid w:val="1B04EE5A"/>
    <w:rsid w:val="1B26A4B9"/>
    <w:rsid w:val="1B2E2568"/>
    <w:rsid w:val="1B40CACD"/>
    <w:rsid w:val="1B859536"/>
    <w:rsid w:val="1BBF9A1B"/>
    <w:rsid w:val="1C0A93BA"/>
    <w:rsid w:val="1C3891C8"/>
    <w:rsid w:val="1C6CC636"/>
    <w:rsid w:val="1C8C6EDB"/>
    <w:rsid w:val="1C99EB0C"/>
    <w:rsid w:val="1CB68526"/>
    <w:rsid w:val="1CB73E3B"/>
    <w:rsid w:val="1D233489"/>
    <w:rsid w:val="1D6D3B53"/>
    <w:rsid w:val="1D7F6785"/>
    <w:rsid w:val="1D86743F"/>
    <w:rsid w:val="1D9793C3"/>
    <w:rsid w:val="1DD63C40"/>
    <w:rsid w:val="1E7026BF"/>
    <w:rsid w:val="1EBF767A"/>
    <w:rsid w:val="1EE4C087"/>
    <w:rsid w:val="1EED8544"/>
    <w:rsid w:val="1EF6B683"/>
    <w:rsid w:val="1F470B27"/>
    <w:rsid w:val="1F4E723C"/>
    <w:rsid w:val="1F6CAF8B"/>
    <w:rsid w:val="1F854603"/>
    <w:rsid w:val="1F91E7EB"/>
    <w:rsid w:val="1FFD872E"/>
    <w:rsid w:val="203D8C53"/>
    <w:rsid w:val="205A8B4E"/>
    <w:rsid w:val="20A39244"/>
    <w:rsid w:val="20CADEF3"/>
    <w:rsid w:val="20EF43F4"/>
    <w:rsid w:val="20F1B5B0"/>
    <w:rsid w:val="2192E67C"/>
    <w:rsid w:val="21B2EA96"/>
    <w:rsid w:val="2222E528"/>
    <w:rsid w:val="222BE718"/>
    <w:rsid w:val="22458CCD"/>
    <w:rsid w:val="227F2EBA"/>
    <w:rsid w:val="2287FCCD"/>
    <w:rsid w:val="22CF2357"/>
    <w:rsid w:val="23BC6F7A"/>
    <w:rsid w:val="23C81EB9"/>
    <w:rsid w:val="23D3B653"/>
    <w:rsid w:val="24102E15"/>
    <w:rsid w:val="241C33F4"/>
    <w:rsid w:val="24355849"/>
    <w:rsid w:val="243CD30C"/>
    <w:rsid w:val="246E0659"/>
    <w:rsid w:val="24C14A1B"/>
    <w:rsid w:val="251565B7"/>
    <w:rsid w:val="251F1E2C"/>
    <w:rsid w:val="2539A946"/>
    <w:rsid w:val="25750CA5"/>
    <w:rsid w:val="2577B216"/>
    <w:rsid w:val="25D6CDAC"/>
    <w:rsid w:val="25F2014A"/>
    <w:rsid w:val="25FF4CF8"/>
    <w:rsid w:val="265BF96A"/>
    <w:rsid w:val="269AC9C5"/>
    <w:rsid w:val="26AABC2E"/>
    <w:rsid w:val="26B6A084"/>
    <w:rsid w:val="26D59755"/>
    <w:rsid w:val="274C1C04"/>
    <w:rsid w:val="276541CF"/>
    <w:rsid w:val="28168BC1"/>
    <w:rsid w:val="284113BD"/>
    <w:rsid w:val="284BA227"/>
    <w:rsid w:val="28539C48"/>
    <w:rsid w:val="2858AAF9"/>
    <w:rsid w:val="28BC642D"/>
    <w:rsid w:val="28C08A0C"/>
    <w:rsid w:val="28DCD2F9"/>
    <w:rsid w:val="290ECBD0"/>
    <w:rsid w:val="29535E18"/>
    <w:rsid w:val="2982CA4A"/>
    <w:rsid w:val="2984BF74"/>
    <w:rsid w:val="298A9313"/>
    <w:rsid w:val="299756DD"/>
    <w:rsid w:val="29B411E5"/>
    <w:rsid w:val="29D99D00"/>
    <w:rsid w:val="2A04E758"/>
    <w:rsid w:val="2A2BBC6D"/>
    <w:rsid w:val="2A939AE7"/>
    <w:rsid w:val="2A9FFA4C"/>
    <w:rsid w:val="2B13A6FD"/>
    <w:rsid w:val="2B86ED28"/>
    <w:rsid w:val="2B8D0130"/>
    <w:rsid w:val="2B90D719"/>
    <w:rsid w:val="2BC685BA"/>
    <w:rsid w:val="2BCDCB3D"/>
    <w:rsid w:val="2CE0ACF5"/>
    <w:rsid w:val="2CFE0FBF"/>
    <w:rsid w:val="2D35ED12"/>
    <w:rsid w:val="2D47C6B1"/>
    <w:rsid w:val="2DC611E2"/>
    <w:rsid w:val="2DEA2491"/>
    <w:rsid w:val="2E2603A4"/>
    <w:rsid w:val="2E5C8D9E"/>
    <w:rsid w:val="2E656EA2"/>
    <w:rsid w:val="2E7EC1BA"/>
    <w:rsid w:val="2EA018BF"/>
    <w:rsid w:val="2EB9D3D4"/>
    <w:rsid w:val="2EDB2013"/>
    <w:rsid w:val="2F056BFF"/>
    <w:rsid w:val="2F940571"/>
    <w:rsid w:val="2FBD3444"/>
    <w:rsid w:val="300AB176"/>
    <w:rsid w:val="309858AA"/>
    <w:rsid w:val="30B88652"/>
    <w:rsid w:val="30CE4F87"/>
    <w:rsid w:val="310BA61F"/>
    <w:rsid w:val="31195428"/>
    <w:rsid w:val="31B2809C"/>
    <w:rsid w:val="31C4405E"/>
    <w:rsid w:val="31E220D8"/>
    <w:rsid w:val="31E4AEE5"/>
    <w:rsid w:val="3234ABDB"/>
    <w:rsid w:val="328F2F54"/>
    <w:rsid w:val="32904265"/>
    <w:rsid w:val="32D85F98"/>
    <w:rsid w:val="32E7F934"/>
    <w:rsid w:val="334F1EE2"/>
    <w:rsid w:val="339DCEC5"/>
    <w:rsid w:val="33E44F63"/>
    <w:rsid w:val="33EF92C6"/>
    <w:rsid w:val="341DBCF3"/>
    <w:rsid w:val="34422FAC"/>
    <w:rsid w:val="34654524"/>
    <w:rsid w:val="3485E52E"/>
    <w:rsid w:val="349BD2C1"/>
    <w:rsid w:val="34ABAC4C"/>
    <w:rsid w:val="34C08CE4"/>
    <w:rsid w:val="34C32402"/>
    <w:rsid w:val="34D07EFA"/>
    <w:rsid w:val="34E0FBD7"/>
    <w:rsid w:val="34E14054"/>
    <w:rsid w:val="35071288"/>
    <w:rsid w:val="3559EFAA"/>
    <w:rsid w:val="35A6C343"/>
    <w:rsid w:val="36132AA5"/>
    <w:rsid w:val="3633FEC4"/>
    <w:rsid w:val="366C4C56"/>
    <w:rsid w:val="36767D79"/>
    <w:rsid w:val="370ECC7C"/>
    <w:rsid w:val="3765E027"/>
    <w:rsid w:val="378178C8"/>
    <w:rsid w:val="37AC1D3A"/>
    <w:rsid w:val="37C6939C"/>
    <w:rsid w:val="37D5DB9C"/>
    <w:rsid w:val="37DF1EAB"/>
    <w:rsid w:val="37EF52A7"/>
    <w:rsid w:val="38614770"/>
    <w:rsid w:val="3920536D"/>
    <w:rsid w:val="39565186"/>
    <w:rsid w:val="396796A2"/>
    <w:rsid w:val="3A869361"/>
    <w:rsid w:val="3B0EAA0A"/>
    <w:rsid w:val="3BA0DD41"/>
    <w:rsid w:val="3BB384F0"/>
    <w:rsid w:val="3BD4E760"/>
    <w:rsid w:val="3BEF2C15"/>
    <w:rsid w:val="3BFEA3E1"/>
    <w:rsid w:val="3C142ED5"/>
    <w:rsid w:val="3C2D864D"/>
    <w:rsid w:val="3C69DC2B"/>
    <w:rsid w:val="3C80A0C8"/>
    <w:rsid w:val="3CB38CC2"/>
    <w:rsid w:val="3D4963FD"/>
    <w:rsid w:val="3DCEBC6C"/>
    <w:rsid w:val="3DD521AB"/>
    <w:rsid w:val="3E162E08"/>
    <w:rsid w:val="3F237D4F"/>
    <w:rsid w:val="3F5ACEB8"/>
    <w:rsid w:val="40251683"/>
    <w:rsid w:val="40B71628"/>
    <w:rsid w:val="40BE378C"/>
    <w:rsid w:val="40DE3E3A"/>
    <w:rsid w:val="40E89B0F"/>
    <w:rsid w:val="427CA5BF"/>
    <w:rsid w:val="4281042E"/>
    <w:rsid w:val="42BD5A43"/>
    <w:rsid w:val="430BA09E"/>
    <w:rsid w:val="4331CAF9"/>
    <w:rsid w:val="43513477"/>
    <w:rsid w:val="43AEB306"/>
    <w:rsid w:val="43B67958"/>
    <w:rsid w:val="43CF64E5"/>
    <w:rsid w:val="43DA853B"/>
    <w:rsid w:val="44015528"/>
    <w:rsid w:val="446618E0"/>
    <w:rsid w:val="44713DA6"/>
    <w:rsid w:val="451067C7"/>
    <w:rsid w:val="45240D2C"/>
    <w:rsid w:val="4531EA68"/>
    <w:rsid w:val="45496014"/>
    <w:rsid w:val="455EBAB2"/>
    <w:rsid w:val="4564FE1F"/>
    <w:rsid w:val="45989F2B"/>
    <w:rsid w:val="45D266D6"/>
    <w:rsid w:val="45FFC2E0"/>
    <w:rsid w:val="462E4515"/>
    <w:rsid w:val="464022E1"/>
    <w:rsid w:val="46910134"/>
    <w:rsid w:val="46989405"/>
    <w:rsid w:val="46CD8A98"/>
    <w:rsid w:val="46E59A13"/>
    <w:rsid w:val="471AFA81"/>
    <w:rsid w:val="474318D3"/>
    <w:rsid w:val="478EFB28"/>
    <w:rsid w:val="47DA06C6"/>
    <w:rsid w:val="47F3F70D"/>
    <w:rsid w:val="48358D06"/>
    <w:rsid w:val="4835D50D"/>
    <w:rsid w:val="48569E87"/>
    <w:rsid w:val="48F1F5B3"/>
    <w:rsid w:val="4973359A"/>
    <w:rsid w:val="49826E56"/>
    <w:rsid w:val="49CB65B3"/>
    <w:rsid w:val="4A46057B"/>
    <w:rsid w:val="4A751892"/>
    <w:rsid w:val="4AF8B7F3"/>
    <w:rsid w:val="4B01B601"/>
    <w:rsid w:val="4B66C2C9"/>
    <w:rsid w:val="4B7740E9"/>
    <w:rsid w:val="4BB59868"/>
    <w:rsid w:val="4C0085FE"/>
    <w:rsid w:val="4C6870BE"/>
    <w:rsid w:val="4CA0A54A"/>
    <w:rsid w:val="4CBE64CA"/>
    <w:rsid w:val="4D69219D"/>
    <w:rsid w:val="4D95A4D6"/>
    <w:rsid w:val="4DBE82D7"/>
    <w:rsid w:val="4E141424"/>
    <w:rsid w:val="4E36B47C"/>
    <w:rsid w:val="4E5F217E"/>
    <w:rsid w:val="4F1BB3EA"/>
    <w:rsid w:val="4FAA2CF2"/>
    <w:rsid w:val="4FB91619"/>
    <w:rsid w:val="502398E5"/>
    <w:rsid w:val="505E1A71"/>
    <w:rsid w:val="507DA47E"/>
    <w:rsid w:val="5082B0E8"/>
    <w:rsid w:val="50D1FB1A"/>
    <w:rsid w:val="50D61AEE"/>
    <w:rsid w:val="5152A10E"/>
    <w:rsid w:val="5176EC09"/>
    <w:rsid w:val="517D890E"/>
    <w:rsid w:val="51B69EDC"/>
    <w:rsid w:val="51ECEBDB"/>
    <w:rsid w:val="523649AA"/>
    <w:rsid w:val="52B5E5D3"/>
    <w:rsid w:val="52DB2AA7"/>
    <w:rsid w:val="531CA533"/>
    <w:rsid w:val="535A75DB"/>
    <w:rsid w:val="539339D6"/>
    <w:rsid w:val="53AD96D6"/>
    <w:rsid w:val="53C2287C"/>
    <w:rsid w:val="53D1311A"/>
    <w:rsid w:val="5420A324"/>
    <w:rsid w:val="542A0ED2"/>
    <w:rsid w:val="548D2779"/>
    <w:rsid w:val="549C7ED2"/>
    <w:rsid w:val="54ADAA96"/>
    <w:rsid w:val="55375C64"/>
    <w:rsid w:val="5571F292"/>
    <w:rsid w:val="5575B5B8"/>
    <w:rsid w:val="56240438"/>
    <w:rsid w:val="563A9091"/>
    <w:rsid w:val="566CCBAF"/>
    <w:rsid w:val="5682999F"/>
    <w:rsid w:val="56D12AF6"/>
    <w:rsid w:val="571DB657"/>
    <w:rsid w:val="577C63F5"/>
    <w:rsid w:val="5792A0F8"/>
    <w:rsid w:val="58747472"/>
    <w:rsid w:val="5874C7A0"/>
    <w:rsid w:val="5877288B"/>
    <w:rsid w:val="58C23C38"/>
    <w:rsid w:val="59F0C078"/>
    <w:rsid w:val="5A1D26A3"/>
    <w:rsid w:val="5A6133F5"/>
    <w:rsid w:val="5A716B5F"/>
    <w:rsid w:val="5A9AEA55"/>
    <w:rsid w:val="5ACED85F"/>
    <w:rsid w:val="5AEF4ABC"/>
    <w:rsid w:val="5B1D7AED"/>
    <w:rsid w:val="5B3CD882"/>
    <w:rsid w:val="5B56EE56"/>
    <w:rsid w:val="5B5B3D5A"/>
    <w:rsid w:val="5B61964E"/>
    <w:rsid w:val="5B6944B2"/>
    <w:rsid w:val="5BFF0A8B"/>
    <w:rsid w:val="5C3F5626"/>
    <w:rsid w:val="5C7DC437"/>
    <w:rsid w:val="5C93377A"/>
    <w:rsid w:val="5CFD66AF"/>
    <w:rsid w:val="5D1FAF39"/>
    <w:rsid w:val="5D301608"/>
    <w:rsid w:val="5D4A0181"/>
    <w:rsid w:val="5D641A54"/>
    <w:rsid w:val="5D6AD316"/>
    <w:rsid w:val="5D77D362"/>
    <w:rsid w:val="5D86A786"/>
    <w:rsid w:val="5DB8313E"/>
    <w:rsid w:val="5DEBA579"/>
    <w:rsid w:val="5DF11FBD"/>
    <w:rsid w:val="5DF62FCF"/>
    <w:rsid w:val="5E1FA123"/>
    <w:rsid w:val="5E719371"/>
    <w:rsid w:val="5EB3BD4D"/>
    <w:rsid w:val="5ECD57CF"/>
    <w:rsid w:val="5EE21A37"/>
    <w:rsid w:val="5EFB5D3C"/>
    <w:rsid w:val="5F3982B5"/>
    <w:rsid w:val="5F5585C3"/>
    <w:rsid w:val="5F5D4AB4"/>
    <w:rsid w:val="5F8775DA"/>
    <w:rsid w:val="5FB6CBF2"/>
    <w:rsid w:val="5FCC76C4"/>
    <w:rsid w:val="5FE7C9F0"/>
    <w:rsid w:val="604F0C9A"/>
    <w:rsid w:val="60E50265"/>
    <w:rsid w:val="60EA3C9F"/>
    <w:rsid w:val="61029338"/>
    <w:rsid w:val="61C1897D"/>
    <w:rsid w:val="622B6EFE"/>
    <w:rsid w:val="62458FAF"/>
    <w:rsid w:val="62612636"/>
    <w:rsid w:val="6282CB3D"/>
    <w:rsid w:val="62F46AC4"/>
    <w:rsid w:val="63067B1D"/>
    <w:rsid w:val="633351B8"/>
    <w:rsid w:val="6358E8F4"/>
    <w:rsid w:val="636EADC6"/>
    <w:rsid w:val="638B42F1"/>
    <w:rsid w:val="63A0D2B9"/>
    <w:rsid w:val="63B93A4B"/>
    <w:rsid w:val="63DD5D35"/>
    <w:rsid w:val="63E67E81"/>
    <w:rsid w:val="643DF94F"/>
    <w:rsid w:val="649676BB"/>
    <w:rsid w:val="64BC0908"/>
    <w:rsid w:val="64F7EB93"/>
    <w:rsid w:val="651E5EFF"/>
    <w:rsid w:val="652416C8"/>
    <w:rsid w:val="65340BC1"/>
    <w:rsid w:val="653AF5D7"/>
    <w:rsid w:val="653E5DA0"/>
    <w:rsid w:val="655E38C9"/>
    <w:rsid w:val="656AEA0F"/>
    <w:rsid w:val="66159293"/>
    <w:rsid w:val="66294159"/>
    <w:rsid w:val="667EFA5F"/>
    <w:rsid w:val="66C57C17"/>
    <w:rsid w:val="67A5E7E5"/>
    <w:rsid w:val="67A8F36C"/>
    <w:rsid w:val="67C3EB25"/>
    <w:rsid w:val="67CA3B87"/>
    <w:rsid w:val="67D33922"/>
    <w:rsid w:val="67D48F86"/>
    <w:rsid w:val="68502638"/>
    <w:rsid w:val="6854E7C3"/>
    <w:rsid w:val="687AED0F"/>
    <w:rsid w:val="68B4B6FA"/>
    <w:rsid w:val="68DC4342"/>
    <w:rsid w:val="691FE7C4"/>
    <w:rsid w:val="695F1144"/>
    <w:rsid w:val="6A566326"/>
    <w:rsid w:val="6A5EF02F"/>
    <w:rsid w:val="6A813431"/>
    <w:rsid w:val="6ADCCA4C"/>
    <w:rsid w:val="6BC4047A"/>
    <w:rsid w:val="6C2C2A85"/>
    <w:rsid w:val="6C3CA7EC"/>
    <w:rsid w:val="6C5CD977"/>
    <w:rsid w:val="6C975C48"/>
    <w:rsid w:val="6CA49B39"/>
    <w:rsid w:val="6CB05B39"/>
    <w:rsid w:val="6CD3DE9C"/>
    <w:rsid w:val="6D15A2CA"/>
    <w:rsid w:val="6D2F39FC"/>
    <w:rsid w:val="6D32D9DE"/>
    <w:rsid w:val="6D558C02"/>
    <w:rsid w:val="6DDC7AF9"/>
    <w:rsid w:val="6E0E70A9"/>
    <w:rsid w:val="6E2716C4"/>
    <w:rsid w:val="6E3FEAFB"/>
    <w:rsid w:val="6E418465"/>
    <w:rsid w:val="6E892C33"/>
    <w:rsid w:val="6F382E6B"/>
    <w:rsid w:val="6F53DB5C"/>
    <w:rsid w:val="6F86CB5C"/>
    <w:rsid w:val="6FB03FB3"/>
    <w:rsid w:val="6FDD7129"/>
    <w:rsid w:val="6FE38488"/>
    <w:rsid w:val="706F6F95"/>
    <w:rsid w:val="70BA4DFB"/>
    <w:rsid w:val="70CD67A8"/>
    <w:rsid w:val="71AC1FE0"/>
    <w:rsid w:val="71B4C248"/>
    <w:rsid w:val="722B11CE"/>
    <w:rsid w:val="7244534D"/>
    <w:rsid w:val="728022CE"/>
    <w:rsid w:val="7282695F"/>
    <w:rsid w:val="728464D8"/>
    <w:rsid w:val="728DB1C7"/>
    <w:rsid w:val="72A5B825"/>
    <w:rsid w:val="72F68D0D"/>
    <w:rsid w:val="73F547ED"/>
    <w:rsid w:val="73FBB5EF"/>
    <w:rsid w:val="7438C106"/>
    <w:rsid w:val="74F1E51E"/>
    <w:rsid w:val="74F7FDE1"/>
    <w:rsid w:val="754A0C39"/>
    <w:rsid w:val="75553C27"/>
    <w:rsid w:val="75D4E51B"/>
    <w:rsid w:val="75DA1BA0"/>
    <w:rsid w:val="75FBA051"/>
    <w:rsid w:val="761E3ED0"/>
    <w:rsid w:val="766A3AEB"/>
    <w:rsid w:val="77ADE92A"/>
    <w:rsid w:val="77DE11EF"/>
    <w:rsid w:val="77E1B8F9"/>
    <w:rsid w:val="77F91AEE"/>
    <w:rsid w:val="7835D034"/>
    <w:rsid w:val="785E6BE8"/>
    <w:rsid w:val="7887CF0E"/>
    <w:rsid w:val="78BBE615"/>
    <w:rsid w:val="78D196F5"/>
    <w:rsid w:val="794687A6"/>
    <w:rsid w:val="795F4AEB"/>
    <w:rsid w:val="79986F99"/>
    <w:rsid w:val="79B652FA"/>
    <w:rsid w:val="79E99AA5"/>
    <w:rsid w:val="7A6EE960"/>
    <w:rsid w:val="7A946F99"/>
    <w:rsid w:val="7A9FEE8B"/>
    <w:rsid w:val="7AC2001F"/>
    <w:rsid w:val="7BA5A0C9"/>
    <w:rsid w:val="7BAEA79F"/>
    <w:rsid w:val="7BF954BF"/>
    <w:rsid w:val="7C152E68"/>
    <w:rsid w:val="7C8B2770"/>
    <w:rsid w:val="7CA5CA1E"/>
    <w:rsid w:val="7CF5045A"/>
    <w:rsid w:val="7D027EF8"/>
    <w:rsid w:val="7D1693FB"/>
    <w:rsid w:val="7D54A27E"/>
    <w:rsid w:val="7D852AF8"/>
    <w:rsid w:val="7D8D1B15"/>
    <w:rsid w:val="7DD0163A"/>
    <w:rsid w:val="7DD425EE"/>
    <w:rsid w:val="7E1455BB"/>
    <w:rsid w:val="7E4D0D91"/>
    <w:rsid w:val="7EBF2223"/>
    <w:rsid w:val="7EEBA599"/>
    <w:rsid w:val="7F9265FE"/>
    <w:rsid w:val="7FC0366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53C7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09B6"/>
    <w:rPr>
      <w:sz w:val="24"/>
      <w:szCs w:val="24"/>
    </w:rPr>
  </w:style>
  <w:style w:type="paragraph" w:styleId="Heading1">
    <w:name w:val="heading 1"/>
    <w:basedOn w:val="Normal"/>
    <w:next w:val="Normal"/>
    <w:link w:val="Heading1Char"/>
    <w:qFormat/>
    <w:rsid w:val="002B6B95"/>
    <w:pPr>
      <w:keepNext/>
      <w:numPr>
        <w:numId w:val="1"/>
      </w:numPr>
      <w:spacing w:after="240"/>
      <w:ind w:left="720" w:hanging="720"/>
      <w:jc w:val="center"/>
      <w:outlineLvl w:val="0"/>
    </w:pPr>
    <w:rPr>
      <w:b/>
      <w:bCs/>
      <w:caps/>
      <w:kern w:val="32"/>
      <w:szCs w:val="32"/>
      <w:u w:val="single"/>
    </w:rPr>
  </w:style>
  <w:style w:type="paragraph" w:styleId="Heading2">
    <w:name w:val="heading 2"/>
    <w:basedOn w:val="Normal"/>
    <w:next w:val="Normal"/>
    <w:link w:val="Heading2Char"/>
    <w:qFormat/>
    <w:rsid w:val="006420E3"/>
    <w:pPr>
      <w:keepNext/>
      <w:numPr>
        <w:numId w:val="2"/>
      </w:numPr>
      <w:spacing w:line="480" w:lineRule="auto"/>
      <w:outlineLvl w:val="1"/>
    </w:pPr>
    <w:rPr>
      <w:b/>
      <w:bCs/>
      <w:iCs/>
      <w:szCs w:val="28"/>
      <w:u w:val="single"/>
    </w:rPr>
  </w:style>
  <w:style w:type="paragraph" w:styleId="Heading3">
    <w:name w:val="heading 3"/>
    <w:basedOn w:val="Normal"/>
    <w:next w:val="Normal"/>
    <w:link w:val="Heading3Char"/>
    <w:unhideWhenUsed/>
    <w:rsid w:val="00E7225C"/>
    <w:pPr>
      <w:keepNext/>
      <w:keepLines/>
      <w:numPr>
        <w:numId w:val="6"/>
      </w:numPr>
      <w:spacing w:line="480" w:lineRule="auto"/>
      <w:jc w:val="center"/>
      <w:outlineLvl w:val="2"/>
    </w:pPr>
    <w:rPr>
      <w:rFonts w:eastAsiaTheme="majorEastAsia" w:cstheme="majorBidi"/>
      <w:b/>
      <w:bCs/>
    </w:rPr>
  </w:style>
  <w:style w:type="paragraph" w:styleId="Heading4">
    <w:name w:val="heading 4"/>
    <w:basedOn w:val="Normal"/>
    <w:next w:val="Normal"/>
    <w:link w:val="Heading4Char"/>
    <w:rsid w:val="0080580E"/>
    <w:pPr>
      <w:keepNext/>
      <w:spacing w:before="240" w:after="60"/>
      <w:outlineLvl w:val="3"/>
    </w:pPr>
    <w:rPr>
      <w:b/>
      <w:bCs/>
      <w:sz w:val="28"/>
      <w:szCs w:val="28"/>
    </w:rPr>
  </w:style>
  <w:style w:type="paragraph" w:styleId="Heading5">
    <w:name w:val="heading 5"/>
    <w:basedOn w:val="Normal"/>
    <w:next w:val="Normal"/>
    <w:link w:val="Heading5Char"/>
    <w:semiHidden/>
    <w:unhideWhenUsed/>
    <w:rsid w:val="00E36E5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E36E50"/>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semiHidden/>
    <w:unhideWhenUsed/>
    <w:qFormat/>
    <w:rsid w:val="00E36E50"/>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6F3606"/>
    <w:pPr>
      <w:keepNext/>
      <w:numPr>
        <w:numId w:val="8"/>
      </w:numPr>
      <w:spacing w:line="480" w:lineRule="auto"/>
      <w:jc w:val="center"/>
      <w:outlineLvl w:val="7"/>
    </w:pPr>
    <w:rPr>
      <w:rFonts w:ascii="Arial" w:hAnsi="Arial"/>
    </w:rPr>
  </w:style>
  <w:style w:type="paragraph" w:styleId="Heading9">
    <w:name w:val="heading 9"/>
    <w:basedOn w:val="Normal"/>
    <w:next w:val="Normal"/>
    <w:link w:val="Heading9Char"/>
    <w:semiHidden/>
    <w:unhideWhenUsed/>
    <w:rsid w:val="00E36E50"/>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0580E"/>
    <w:pPr>
      <w:tabs>
        <w:tab w:val="center" w:pos="4320"/>
        <w:tab w:val="right" w:pos="8640"/>
      </w:tabs>
    </w:pPr>
    <w:rPr>
      <w:sz w:val="20"/>
      <w:szCs w:val="20"/>
    </w:rPr>
  </w:style>
  <w:style w:type="character" w:styleId="LineNumber">
    <w:name w:val="line number"/>
    <w:basedOn w:val="DefaultParagraphFont"/>
    <w:rsid w:val="0080580E"/>
  </w:style>
  <w:style w:type="paragraph" w:customStyle="1" w:styleId="QUESTION">
    <w:name w:val="QUESTION"/>
    <w:basedOn w:val="Normal"/>
    <w:next w:val="A"/>
    <w:qFormat/>
    <w:rsid w:val="00760D69"/>
    <w:pPr>
      <w:keepNext/>
      <w:numPr>
        <w:numId w:val="4"/>
      </w:numPr>
      <w:spacing w:line="480" w:lineRule="auto"/>
      <w:ind w:hanging="720"/>
      <w:jc w:val="both"/>
    </w:pPr>
    <w:rPr>
      <w:caps/>
    </w:rPr>
  </w:style>
  <w:style w:type="paragraph" w:customStyle="1" w:styleId="A">
    <w:name w:val="A."/>
    <w:basedOn w:val="Normal"/>
    <w:link w:val="AChar"/>
    <w:qFormat/>
    <w:rsid w:val="00111715"/>
    <w:pPr>
      <w:spacing w:line="480" w:lineRule="auto"/>
      <w:ind w:left="720" w:hanging="720"/>
      <w:jc w:val="both"/>
    </w:pPr>
  </w:style>
  <w:style w:type="character" w:customStyle="1" w:styleId="AChar">
    <w:name w:val="A. Char"/>
    <w:link w:val="A"/>
    <w:rsid w:val="00111715"/>
    <w:rPr>
      <w:sz w:val="24"/>
      <w:szCs w:val="24"/>
    </w:rPr>
  </w:style>
  <w:style w:type="paragraph" w:styleId="FootnoteText">
    <w:name w:val="footnote text"/>
    <w:basedOn w:val="Normal"/>
    <w:link w:val="FootnoteTextChar"/>
    <w:qFormat/>
    <w:rsid w:val="0080498F"/>
    <w:pPr>
      <w:keepLines/>
      <w:tabs>
        <w:tab w:val="left" w:pos="360"/>
      </w:tabs>
      <w:spacing w:after="120"/>
      <w:ind w:left="360" w:hanging="360"/>
      <w:jc w:val="both"/>
    </w:pPr>
    <w:rPr>
      <w:rFonts w:cs="Arial"/>
      <w:sz w:val="20"/>
      <w:szCs w:val="20"/>
    </w:rPr>
  </w:style>
  <w:style w:type="character" w:styleId="FootnoteReference">
    <w:name w:val="footnote reference"/>
    <w:aliases w:val="fr,o"/>
    <w:rsid w:val="0080580E"/>
    <w:rPr>
      <w:vertAlign w:val="superscript"/>
    </w:rPr>
  </w:style>
  <w:style w:type="paragraph" w:styleId="Footer">
    <w:name w:val="footer"/>
    <w:basedOn w:val="Normal"/>
    <w:link w:val="FooterChar"/>
    <w:rsid w:val="0080580E"/>
    <w:pPr>
      <w:tabs>
        <w:tab w:val="center" w:pos="4320"/>
        <w:tab w:val="right" w:pos="8640"/>
      </w:tabs>
    </w:pPr>
    <w:rPr>
      <w:sz w:val="20"/>
      <w:szCs w:val="20"/>
    </w:rPr>
  </w:style>
  <w:style w:type="character" w:styleId="PageNumber">
    <w:name w:val="page number"/>
    <w:basedOn w:val="DefaultParagraphFont"/>
    <w:rsid w:val="0080580E"/>
  </w:style>
  <w:style w:type="paragraph" w:styleId="Title">
    <w:name w:val="Title"/>
    <w:basedOn w:val="A"/>
    <w:qFormat/>
    <w:rsid w:val="00C15FCE"/>
    <w:pPr>
      <w:keepNext/>
      <w:keepLines/>
      <w:spacing w:line="240" w:lineRule="auto"/>
      <w:jc w:val="center"/>
      <w:outlineLvl w:val="2"/>
    </w:pPr>
    <w:rPr>
      <w:b/>
      <w:bCs/>
    </w:rPr>
  </w:style>
  <w:style w:type="paragraph" w:styleId="BodyText">
    <w:name w:val="Body Text"/>
    <w:basedOn w:val="Normal"/>
    <w:link w:val="BodyTextChar"/>
    <w:rsid w:val="00CB389C"/>
    <w:pPr>
      <w:spacing w:after="120"/>
    </w:pPr>
    <w:rPr>
      <w:sz w:val="20"/>
      <w:szCs w:val="20"/>
    </w:rPr>
  </w:style>
  <w:style w:type="character" w:styleId="CommentReference">
    <w:name w:val="annotation reference"/>
    <w:uiPriority w:val="99"/>
    <w:rsid w:val="00CB389C"/>
    <w:rPr>
      <w:sz w:val="16"/>
      <w:szCs w:val="16"/>
    </w:rPr>
  </w:style>
  <w:style w:type="paragraph" w:styleId="CommentText">
    <w:name w:val="annotation text"/>
    <w:basedOn w:val="Normal"/>
    <w:link w:val="CommentTextChar"/>
    <w:uiPriority w:val="99"/>
    <w:rsid w:val="00D241CC"/>
    <w:rPr>
      <w:sz w:val="22"/>
      <w:szCs w:val="20"/>
    </w:rPr>
  </w:style>
  <w:style w:type="paragraph" w:styleId="CommentSubject">
    <w:name w:val="annotation subject"/>
    <w:basedOn w:val="CommentText"/>
    <w:next w:val="CommentText"/>
    <w:semiHidden/>
    <w:rsid w:val="00D241CC"/>
    <w:rPr>
      <w:b/>
      <w:bCs/>
    </w:rPr>
  </w:style>
  <w:style w:type="paragraph" w:styleId="BalloonText">
    <w:name w:val="Balloon Text"/>
    <w:basedOn w:val="Normal"/>
    <w:semiHidden/>
    <w:rsid w:val="00CB389C"/>
    <w:rPr>
      <w:rFonts w:ascii="Tahoma" w:hAnsi="Tahoma" w:cs="Tahoma"/>
      <w:sz w:val="16"/>
      <w:szCs w:val="16"/>
    </w:rPr>
  </w:style>
  <w:style w:type="paragraph" w:customStyle="1" w:styleId="1Figure">
    <w:name w:val="1Figure"/>
    <w:basedOn w:val="Caption"/>
    <w:rsid w:val="00A12123"/>
    <w:pPr>
      <w:keepNext/>
      <w:widowControl w:val="0"/>
      <w:adjustRightInd w:val="0"/>
      <w:spacing w:line="360" w:lineRule="atLeast"/>
      <w:jc w:val="both"/>
      <w:textAlignment w:val="baseline"/>
    </w:pPr>
    <w:rPr>
      <w:rFonts w:ascii="Arial" w:hAnsi="Arial"/>
      <w:bCs w:val="0"/>
    </w:rPr>
  </w:style>
  <w:style w:type="paragraph" w:styleId="Caption">
    <w:name w:val="caption"/>
    <w:basedOn w:val="Normal"/>
    <w:next w:val="Normal"/>
    <w:rsid w:val="00A12123"/>
    <w:rPr>
      <w:b/>
      <w:bCs/>
      <w:sz w:val="20"/>
      <w:szCs w:val="20"/>
    </w:rPr>
  </w:style>
  <w:style w:type="table" w:styleId="TableGrid">
    <w:name w:val="Table Grid"/>
    <w:basedOn w:val="TableNormal"/>
    <w:uiPriority w:val="59"/>
    <w:rsid w:val="00103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80498F"/>
    <w:rPr>
      <w:rFonts w:cs="Arial"/>
    </w:rPr>
  </w:style>
  <w:style w:type="paragraph" w:styleId="TOC1">
    <w:name w:val="toc 1"/>
    <w:basedOn w:val="Normal"/>
    <w:next w:val="Normal"/>
    <w:autoRedefine/>
    <w:uiPriority w:val="39"/>
    <w:rsid w:val="00A66D93"/>
    <w:pPr>
      <w:tabs>
        <w:tab w:val="left" w:pos="720"/>
        <w:tab w:val="right" w:pos="9360"/>
      </w:tabs>
      <w:spacing w:after="240"/>
      <w:ind w:left="720" w:right="720" w:hanging="720"/>
    </w:pPr>
    <w:rPr>
      <w:noProof/>
    </w:rPr>
  </w:style>
  <w:style w:type="paragraph" w:styleId="TOCHeading">
    <w:name w:val="TOC Heading"/>
    <w:basedOn w:val="Heading1"/>
    <w:next w:val="Normal"/>
    <w:uiPriority w:val="39"/>
    <w:rsid w:val="005F19EF"/>
    <w:pPr>
      <w:keepLines/>
      <w:numPr>
        <w:numId w:val="0"/>
      </w:numPr>
      <w:spacing w:before="480" w:after="0" w:line="276" w:lineRule="auto"/>
      <w:outlineLvl w:val="9"/>
    </w:pPr>
    <w:rPr>
      <w:rFonts w:ascii="Cambria" w:hAnsi="Cambria"/>
      <w:color w:val="365F91"/>
      <w:kern w:val="0"/>
      <w:sz w:val="28"/>
      <w:szCs w:val="28"/>
    </w:rPr>
  </w:style>
  <w:style w:type="paragraph" w:styleId="TOC2">
    <w:name w:val="toc 2"/>
    <w:basedOn w:val="Normal"/>
    <w:next w:val="Normal"/>
    <w:autoRedefine/>
    <w:uiPriority w:val="39"/>
    <w:rsid w:val="00AE4F75"/>
    <w:pPr>
      <w:ind w:left="240"/>
    </w:pPr>
    <w:rPr>
      <w:b/>
    </w:rPr>
  </w:style>
  <w:style w:type="character" w:styleId="Hyperlink">
    <w:name w:val="Hyperlink"/>
    <w:uiPriority w:val="99"/>
    <w:unhideWhenUsed/>
    <w:rsid w:val="005F19EF"/>
    <w:rPr>
      <w:color w:val="0000FF"/>
      <w:u w:val="single"/>
    </w:rPr>
  </w:style>
  <w:style w:type="paragraph" w:styleId="ListParagraph">
    <w:name w:val="List Paragraph"/>
    <w:basedOn w:val="Normal"/>
    <w:uiPriority w:val="34"/>
    <w:qFormat/>
    <w:rsid w:val="004339A5"/>
    <w:pPr>
      <w:ind w:left="720"/>
      <w:contextualSpacing/>
    </w:pPr>
  </w:style>
  <w:style w:type="character" w:customStyle="1" w:styleId="CommentTextChar">
    <w:name w:val="Comment Text Char"/>
    <w:link w:val="CommentText"/>
    <w:uiPriority w:val="99"/>
    <w:rsid w:val="00C70D26"/>
    <w:rPr>
      <w:sz w:val="22"/>
    </w:rPr>
  </w:style>
  <w:style w:type="paragraph" w:styleId="Revision">
    <w:name w:val="Revision"/>
    <w:hidden/>
    <w:uiPriority w:val="99"/>
    <w:semiHidden/>
    <w:rsid w:val="00A91418"/>
    <w:rPr>
      <w:sz w:val="24"/>
      <w:szCs w:val="24"/>
    </w:rPr>
  </w:style>
  <w:style w:type="table" w:customStyle="1" w:styleId="TableGrid1">
    <w:name w:val="Table Grid1"/>
    <w:basedOn w:val="TableNormal"/>
    <w:next w:val="TableGrid"/>
    <w:uiPriority w:val="59"/>
    <w:rsid w:val="00E4021D"/>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2B6B95"/>
    <w:rPr>
      <w:b/>
      <w:bCs/>
      <w:caps/>
      <w:kern w:val="32"/>
      <w:sz w:val="24"/>
      <w:szCs w:val="32"/>
      <w:u w:val="single"/>
    </w:rPr>
  </w:style>
  <w:style w:type="paragraph" w:styleId="BodyTextIndent3">
    <w:name w:val="Body Text Indent 3"/>
    <w:basedOn w:val="Normal"/>
    <w:link w:val="BodyTextIndent3Char"/>
    <w:rsid w:val="00890987"/>
    <w:pPr>
      <w:spacing w:after="120"/>
      <w:ind w:left="360"/>
    </w:pPr>
    <w:rPr>
      <w:sz w:val="16"/>
      <w:szCs w:val="16"/>
    </w:rPr>
  </w:style>
  <w:style w:type="character" w:customStyle="1" w:styleId="BodyTextIndent3Char">
    <w:name w:val="Body Text Indent 3 Char"/>
    <w:link w:val="BodyTextIndent3"/>
    <w:rsid w:val="00890987"/>
    <w:rPr>
      <w:sz w:val="16"/>
      <w:szCs w:val="16"/>
    </w:rPr>
  </w:style>
  <w:style w:type="paragraph" w:customStyle="1" w:styleId="LPSCHeading1">
    <w:name w:val="LPSC Heading 1"/>
    <w:basedOn w:val="Heading1"/>
    <w:next w:val="LPSCHeading2"/>
    <w:link w:val="LPSCHeading1Char"/>
    <w:rsid w:val="00767CC2"/>
    <w:rPr>
      <w:caps w:val="0"/>
    </w:rPr>
  </w:style>
  <w:style w:type="paragraph" w:customStyle="1" w:styleId="LPSCHeading2">
    <w:name w:val="LPSC Heading 2"/>
    <w:basedOn w:val="Heading2"/>
    <w:link w:val="LPSCHeading2Char"/>
    <w:rsid w:val="008B7A34"/>
    <w:pPr>
      <w:numPr>
        <w:numId w:val="3"/>
      </w:numPr>
    </w:pPr>
    <w:rPr>
      <w:szCs w:val="24"/>
    </w:rPr>
  </w:style>
  <w:style w:type="character" w:customStyle="1" w:styleId="LPSCHeading1Char">
    <w:name w:val="LPSC Heading 1 Char"/>
    <w:basedOn w:val="Heading1Char"/>
    <w:link w:val="LPSCHeading1"/>
    <w:rsid w:val="00767CC2"/>
    <w:rPr>
      <w:rFonts w:ascii="Times New Roman Bold" w:hAnsi="Times New Roman Bold"/>
      <w:b/>
      <w:bCs/>
      <w:caps w:val="0"/>
      <w:kern w:val="32"/>
      <w:sz w:val="24"/>
      <w:szCs w:val="32"/>
      <w:u w:val="single"/>
    </w:rPr>
  </w:style>
  <w:style w:type="character" w:customStyle="1" w:styleId="FooterChar">
    <w:name w:val="Footer Char"/>
    <w:link w:val="Footer"/>
    <w:rsid w:val="00C30FCB"/>
  </w:style>
  <w:style w:type="character" w:customStyle="1" w:styleId="Heading2Char">
    <w:name w:val="Heading 2 Char"/>
    <w:link w:val="Heading2"/>
    <w:rsid w:val="004C6A16"/>
    <w:rPr>
      <w:b/>
      <w:bCs/>
      <w:iCs/>
      <w:sz w:val="24"/>
      <w:szCs w:val="28"/>
      <w:u w:val="single"/>
    </w:rPr>
  </w:style>
  <w:style w:type="character" w:customStyle="1" w:styleId="LPSCHeading2Char">
    <w:name w:val="LPSC Heading 2 Char"/>
    <w:link w:val="LPSCHeading2"/>
    <w:rsid w:val="008B7A34"/>
    <w:rPr>
      <w:b/>
      <w:bCs/>
      <w:iCs/>
      <w:sz w:val="24"/>
      <w:szCs w:val="24"/>
      <w:u w:val="single"/>
    </w:rPr>
  </w:style>
  <w:style w:type="table" w:customStyle="1" w:styleId="TableGrid2">
    <w:name w:val="Table Grid2"/>
    <w:basedOn w:val="TableNormal"/>
    <w:next w:val="TableGrid"/>
    <w:uiPriority w:val="59"/>
    <w:rsid w:val="000D1D4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E7225C"/>
    <w:rPr>
      <w:rFonts w:eastAsiaTheme="majorEastAsia" w:cstheme="majorBidi"/>
      <w:b/>
      <w:bCs/>
      <w:sz w:val="24"/>
      <w:szCs w:val="24"/>
    </w:rPr>
  </w:style>
  <w:style w:type="character" w:customStyle="1" w:styleId="Heading8Char">
    <w:name w:val="Heading 8 Char"/>
    <w:basedOn w:val="DefaultParagraphFont"/>
    <w:link w:val="Heading8"/>
    <w:rsid w:val="006F3606"/>
    <w:rPr>
      <w:rFonts w:ascii="Arial" w:hAnsi="Arial"/>
      <w:sz w:val="24"/>
      <w:szCs w:val="24"/>
    </w:rPr>
  </w:style>
  <w:style w:type="paragraph" w:customStyle="1" w:styleId="question0">
    <w:name w:val="question"/>
    <w:basedOn w:val="Normal"/>
    <w:next w:val="Normal"/>
    <w:link w:val="questionChar"/>
    <w:rsid w:val="0042419F"/>
    <w:pPr>
      <w:keepNext/>
      <w:numPr>
        <w:numId w:val="9"/>
      </w:numPr>
      <w:spacing w:line="480" w:lineRule="auto"/>
      <w:jc w:val="both"/>
    </w:pPr>
    <w:rPr>
      <w:caps/>
    </w:rPr>
  </w:style>
  <w:style w:type="character" w:customStyle="1" w:styleId="questionChar">
    <w:name w:val="question Char"/>
    <w:link w:val="question0"/>
    <w:rsid w:val="0042419F"/>
    <w:rPr>
      <w:caps/>
      <w:sz w:val="24"/>
      <w:szCs w:val="24"/>
    </w:rPr>
  </w:style>
  <w:style w:type="character" w:customStyle="1" w:styleId="HeaderChar">
    <w:name w:val="Header Char"/>
    <w:basedOn w:val="DefaultParagraphFont"/>
    <w:link w:val="Header"/>
    <w:uiPriority w:val="99"/>
    <w:rsid w:val="006B574D"/>
  </w:style>
  <w:style w:type="character" w:customStyle="1" w:styleId="BodyTextChar">
    <w:name w:val="Body Text Char"/>
    <w:basedOn w:val="DefaultParagraphFont"/>
    <w:link w:val="BodyText"/>
    <w:rsid w:val="00647410"/>
  </w:style>
  <w:style w:type="paragraph" w:customStyle="1" w:styleId="Q">
    <w:name w:val="Q."/>
    <w:basedOn w:val="QUESTION"/>
    <w:next w:val="Normal"/>
    <w:link w:val="QChar"/>
    <w:autoRedefine/>
    <w:uiPriority w:val="99"/>
    <w:rsid w:val="00C61918"/>
  </w:style>
  <w:style w:type="character" w:customStyle="1" w:styleId="QChar">
    <w:name w:val="Q. Char"/>
    <w:basedOn w:val="DefaultParagraphFont"/>
    <w:link w:val="Q"/>
    <w:uiPriority w:val="99"/>
    <w:rsid w:val="00C61918"/>
    <w:rPr>
      <w:caps/>
      <w:sz w:val="24"/>
      <w:szCs w:val="24"/>
    </w:rPr>
  </w:style>
  <w:style w:type="paragraph" w:customStyle="1" w:styleId="A2">
    <w:name w:val="A2"/>
    <w:basedOn w:val="A"/>
    <w:next w:val="A"/>
    <w:qFormat/>
    <w:rsid w:val="004E09B6"/>
    <w:pPr>
      <w:ind w:firstLine="720"/>
    </w:pPr>
  </w:style>
  <w:style w:type="paragraph" w:styleId="Bibliography">
    <w:name w:val="Bibliography"/>
    <w:basedOn w:val="Normal"/>
    <w:next w:val="Normal"/>
    <w:uiPriority w:val="37"/>
    <w:semiHidden/>
    <w:unhideWhenUsed/>
    <w:rsid w:val="00E36E50"/>
  </w:style>
  <w:style w:type="paragraph" w:styleId="BlockText">
    <w:name w:val="Block Text"/>
    <w:basedOn w:val="Normal"/>
    <w:rsid w:val="00E36E50"/>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E36E50"/>
    <w:pPr>
      <w:spacing w:after="120" w:line="480" w:lineRule="auto"/>
    </w:pPr>
  </w:style>
  <w:style w:type="character" w:customStyle="1" w:styleId="BodyText2Char">
    <w:name w:val="Body Text 2 Char"/>
    <w:basedOn w:val="DefaultParagraphFont"/>
    <w:link w:val="BodyText2"/>
    <w:rsid w:val="00E36E50"/>
    <w:rPr>
      <w:sz w:val="24"/>
      <w:szCs w:val="24"/>
    </w:rPr>
  </w:style>
  <w:style w:type="paragraph" w:styleId="BodyText3">
    <w:name w:val="Body Text 3"/>
    <w:basedOn w:val="Normal"/>
    <w:link w:val="BodyText3Char"/>
    <w:rsid w:val="00E36E50"/>
    <w:pPr>
      <w:spacing w:after="120"/>
    </w:pPr>
    <w:rPr>
      <w:sz w:val="16"/>
      <w:szCs w:val="16"/>
    </w:rPr>
  </w:style>
  <w:style w:type="character" w:customStyle="1" w:styleId="BodyText3Char">
    <w:name w:val="Body Text 3 Char"/>
    <w:basedOn w:val="DefaultParagraphFont"/>
    <w:link w:val="BodyText3"/>
    <w:rsid w:val="00E36E50"/>
    <w:rPr>
      <w:sz w:val="16"/>
      <w:szCs w:val="16"/>
    </w:rPr>
  </w:style>
  <w:style w:type="paragraph" w:styleId="BodyTextFirstIndent">
    <w:name w:val="Body Text First Indent"/>
    <w:basedOn w:val="BodyText"/>
    <w:link w:val="BodyTextFirstIndentChar"/>
    <w:rsid w:val="00E36E50"/>
    <w:pPr>
      <w:spacing w:after="0"/>
      <w:ind w:firstLine="360"/>
    </w:pPr>
    <w:rPr>
      <w:sz w:val="24"/>
      <w:szCs w:val="24"/>
    </w:rPr>
  </w:style>
  <w:style w:type="character" w:customStyle="1" w:styleId="BodyTextFirstIndentChar">
    <w:name w:val="Body Text First Indent Char"/>
    <w:basedOn w:val="BodyTextChar"/>
    <w:link w:val="BodyTextFirstIndent"/>
    <w:rsid w:val="00E36E50"/>
    <w:rPr>
      <w:sz w:val="24"/>
      <w:szCs w:val="24"/>
    </w:rPr>
  </w:style>
  <w:style w:type="paragraph" w:styleId="BodyTextIndent">
    <w:name w:val="Body Text Indent"/>
    <w:basedOn w:val="Normal"/>
    <w:link w:val="BodyTextIndentChar"/>
    <w:rsid w:val="00E36E50"/>
    <w:pPr>
      <w:spacing w:after="120"/>
      <w:ind w:left="360"/>
    </w:pPr>
  </w:style>
  <w:style w:type="character" w:customStyle="1" w:styleId="BodyTextIndentChar">
    <w:name w:val="Body Text Indent Char"/>
    <w:basedOn w:val="DefaultParagraphFont"/>
    <w:link w:val="BodyTextIndent"/>
    <w:rsid w:val="00E36E50"/>
    <w:rPr>
      <w:sz w:val="24"/>
      <w:szCs w:val="24"/>
    </w:rPr>
  </w:style>
  <w:style w:type="paragraph" w:styleId="BodyTextFirstIndent2">
    <w:name w:val="Body Text First Indent 2"/>
    <w:basedOn w:val="BodyTextIndent"/>
    <w:link w:val="BodyTextFirstIndent2Char"/>
    <w:rsid w:val="00E36E50"/>
    <w:pPr>
      <w:spacing w:after="0"/>
      <w:ind w:firstLine="360"/>
    </w:pPr>
  </w:style>
  <w:style w:type="character" w:customStyle="1" w:styleId="BodyTextFirstIndent2Char">
    <w:name w:val="Body Text First Indent 2 Char"/>
    <w:basedOn w:val="BodyTextIndentChar"/>
    <w:link w:val="BodyTextFirstIndent2"/>
    <w:rsid w:val="00E36E50"/>
    <w:rPr>
      <w:sz w:val="24"/>
      <w:szCs w:val="24"/>
    </w:rPr>
  </w:style>
  <w:style w:type="paragraph" w:styleId="BodyTextIndent2">
    <w:name w:val="Body Text Indent 2"/>
    <w:basedOn w:val="Normal"/>
    <w:link w:val="BodyTextIndent2Char"/>
    <w:rsid w:val="00E36E50"/>
    <w:pPr>
      <w:spacing w:after="120" w:line="480" w:lineRule="auto"/>
      <w:ind w:left="360"/>
    </w:pPr>
  </w:style>
  <w:style w:type="character" w:customStyle="1" w:styleId="BodyTextIndent2Char">
    <w:name w:val="Body Text Indent 2 Char"/>
    <w:basedOn w:val="DefaultParagraphFont"/>
    <w:link w:val="BodyTextIndent2"/>
    <w:rsid w:val="00E36E50"/>
    <w:rPr>
      <w:sz w:val="24"/>
      <w:szCs w:val="24"/>
    </w:rPr>
  </w:style>
  <w:style w:type="paragraph" w:styleId="Closing">
    <w:name w:val="Closing"/>
    <w:basedOn w:val="Normal"/>
    <w:link w:val="ClosingChar"/>
    <w:rsid w:val="00E36E50"/>
    <w:pPr>
      <w:ind w:left="4320"/>
    </w:pPr>
  </w:style>
  <w:style w:type="character" w:customStyle="1" w:styleId="ClosingChar">
    <w:name w:val="Closing Char"/>
    <w:basedOn w:val="DefaultParagraphFont"/>
    <w:link w:val="Closing"/>
    <w:rsid w:val="00E36E50"/>
    <w:rPr>
      <w:sz w:val="24"/>
      <w:szCs w:val="24"/>
    </w:rPr>
  </w:style>
  <w:style w:type="paragraph" w:styleId="Date">
    <w:name w:val="Date"/>
    <w:basedOn w:val="Normal"/>
    <w:next w:val="Normal"/>
    <w:link w:val="DateChar"/>
    <w:rsid w:val="00E36E50"/>
  </w:style>
  <w:style w:type="character" w:customStyle="1" w:styleId="DateChar">
    <w:name w:val="Date Char"/>
    <w:basedOn w:val="DefaultParagraphFont"/>
    <w:link w:val="Date"/>
    <w:rsid w:val="00E36E50"/>
    <w:rPr>
      <w:sz w:val="24"/>
      <w:szCs w:val="24"/>
    </w:rPr>
  </w:style>
  <w:style w:type="paragraph" w:styleId="DocumentMap">
    <w:name w:val="Document Map"/>
    <w:basedOn w:val="Normal"/>
    <w:link w:val="DocumentMapChar"/>
    <w:rsid w:val="00E36E50"/>
    <w:rPr>
      <w:rFonts w:ascii="Tahoma" w:hAnsi="Tahoma" w:cs="Tahoma"/>
      <w:sz w:val="16"/>
      <w:szCs w:val="16"/>
    </w:rPr>
  </w:style>
  <w:style w:type="character" w:customStyle="1" w:styleId="DocumentMapChar">
    <w:name w:val="Document Map Char"/>
    <w:basedOn w:val="DefaultParagraphFont"/>
    <w:link w:val="DocumentMap"/>
    <w:rsid w:val="00E36E50"/>
    <w:rPr>
      <w:rFonts w:ascii="Tahoma" w:hAnsi="Tahoma" w:cs="Tahoma"/>
      <w:sz w:val="16"/>
      <w:szCs w:val="16"/>
    </w:rPr>
  </w:style>
  <w:style w:type="paragraph" w:styleId="E-mailSignature">
    <w:name w:val="E-mail Signature"/>
    <w:basedOn w:val="Normal"/>
    <w:link w:val="E-mailSignatureChar"/>
    <w:rsid w:val="00E36E50"/>
  </w:style>
  <w:style w:type="character" w:customStyle="1" w:styleId="E-mailSignatureChar">
    <w:name w:val="E-mail Signature Char"/>
    <w:basedOn w:val="DefaultParagraphFont"/>
    <w:link w:val="E-mailSignature"/>
    <w:rsid w:val="00E36E50"/>
    <w:rPr>
      <w:sz w:val="24"/>
      <w:szCs w:val="24"/>
    </w:rPr>
  </w:style>
  <w:style w:type="paragraph" w:styleId="EndnoteText">
    <w:name w:val="endnote text"/>
    <w:basedOn w:val="Normal"/>
    <w:link w:val="EndnoteTextChar"/>
    <w:rsid w:val="00E36E50"/>
    <w:rPr>
      <w:sz w:val="20"/>
      <w:szCs w:val="20"/>
    </w:rPr>
  </w:style>
  <w:style w:type="character" w:customStyle="1" w:styleId="EndnoteTextChar">
    <w:name w:val="Endnote Text Char"/>
    <w:basedOn w:val="DefaultParagraphFont"/>
    <w:link w:val="EndnoteText"/>
    <w:rsid w:val="00E36E50"/>
  </w:style>
  <w:style w:type="paragraph" w:styleId="EnvelopeAddress">
    <w:name w:val="envelope address"/>
    <w:basedOn w:val="Normal"/>
    <w:rsid w:val="00E36E50"/>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rsid w:val="00E36E50"/>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sid w:val="00E36E50"/>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semiHidden/>
    <w:rsid w:val="00E36E50"/>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semiHidden/>
    <w:rsid w:val="00E36E50"/>
    <w:rPr>
      <w:rFonts w:asciiTheme="majorHAnsi" w:eastAsiaTheme="majorEastAsia" w:hAnsiTheme="majorHAnsi" w:cstheme="majorBidi"/>
      <w:i/>
      <w:iCs/>
      <w:color w:val="404040" w:themeColor="text1" w:themeTint="BF"/>
      <w:sz w:val="24"/>
      <w:szCs w:val="24"/>
    </w:rPr>
  </w:style>
  <w:style w:type="character" w:customStyle="1" w:styleId="Heading9Char">
    <w:name w:val="Heading 9 Char"/>
    <w:basedOn w:val="DefaultParagraphFont"/>
    <w:link w:val="Heading9"/>
    <w:semiHidden/>
    <w:rsid w:val="00E36E50"/>
    <w:rPr>
      <w:rFonts w:asciiTheme="majorHAnsi" w:eastAsiaTheme="majorEastAsia" w:hAnsiTheme="majorHAnsi" w:cstheme="majorBidi"/>
      <w:i/>
      <w:iCs/>
      <w:color w:val="404040" w:themeColor="text1" w:themeTint="BF"/>
    </w:rPr>
  </w:style>
  <w:style w:type="paragraph" w:styleId="HTMLAddress">
    <w:name w:val="HTML Address"/>
    <w:basedOn w:val="Normal"/>
    <w:link w:val="HTMLAddressChar"/>
    <w:rsid w:val="00E36E50"/>
    <w:rPr>
      <w:i/>
      <w:iCs/>
    </w:rPr>
  </w:style>
  <w:style w:type="character" w:customStyle="1" w:styleId="HTMLAddressChar">
    <w:name w:val="HTML Address Char"/>
    <w:basedOn w:val="DefaultParagraphFont"/>
    <w:link w:val="HTMLAddress"/>
    <w:rsid w:val="00E36E50"/>
    <w:rPr>
      <w:i/>
      <w:iCs/>
      <w:sz w:val="24"/>
      <w:szCs w:val="24"/>
    </w:rPr>
  </w:style>
  <w:style w:type="paragraph" w:styleId="HTMLPreformatted">
    <w:name w:val="HTML Preformatted"/>
    <w:basedOn w:val="Normal"/>
    <w:link w:val="HTMLPreformattedChar"/>
    <w:rsid w:val="00E36E50"/>
    <w:rPr>
      <w:rFonts w:ascii="Consolas" w:hAnsi="Consolas"/>
      <w:sz w:val="20"/>
      <w:szCs w:val="20"/>
    </w:rPr>
  </w:style>
  <w:style w:type="character" w:customStyle="1" w:styleId="HTMLPreformattedChar">
    <w:name w:val="HTML Preformatted Char"/>
    <w:basedOn w:val="DefaultParagraphFont"/>
    <w:link w:val="HTMLPreformatted"/>
    <w:rsid w:val="00E36E50"/>
    <w:rPr>
      <w:rFonts w:ascii="Consolas" w:hAnsi="Consolas"/>
    </w:rPr>
  </w:style>
  <w:style w:type="paragraph" w:styleId="Index1">
    <w:name w:val="index 1"/>
    <w:basedOn w:val="Normal"/>
    <w:next w:val="Normal"/>
    <w:autoRedefine/>
    <w:rsid w:val="00E36E50"/>
    <w:pPr>
      <w:ind w:left="240" w:hanging="240"/>
    </w:pPr>
  </w:style>
  <w:style w:type="paragraph" w:styleId="Index2">
    <w:name w:val="index 2"/>
    <w:basedOn w:val="Normal"/>
    <w:next w:val="Normal"/>
    <w:autoRedefine/>
    <w:rsid w:val="00E36E50"/>
    <w:pPr>
      <w:ind w:left="480" w:hanging="240"/>
    </w:pPr>
  </w:style>
  <w:style w:type="paragraph" w:styleId="Index3">
    <w:name w:val="index 3"/>
    <w:basedOn w:val="Normal"/>
    <w:next w:val="Normal"/>
    <w:autoRedefine/>
    <w:rsid w:val="00E36E50"/>
    <w:pPr>
      <w:ind w:left="720" w:hanging="240"/>
    </w:pPr>
  </w:style>
  <w:style w:type="paragraph" w:styleId="Index4">
    <w:name w:val="index 4"/>
    <w:basedOn w:val="Normal"/>
    <w:next w:val="Normal"/>
    <w:autoRedefine/>
    <w:rsid w:val="00E36E50"/>
    <w:pPr>
      <w:ind w:left="960" w:hanging="240"/>
    </w:pPr>
  </w:style>
  <w:style w:type="paragraph" w:styleId="Index5">
    <w:name w:val="index 5"/>
    <w:basedOn w:val="Normal"/>
    <w:next w:val="Normal"/>
    <w:autoRedefine/>
    <w:rsid w:val="00E36E50"/>
    <w:pPr>
      <w:ind w:left="1200" w:hanging="240"/>
    </w:pPr>
  </w:style>
  <w:style w:type="paragraph" w:styleId="Index6">
    <w:name w:val="index 6"/>
    <w:basedOn w:val="Normal"/>
    <w:next w:val="Normal"/>
    <w:autoRedefine/>
    <w:rsid w:val="00E36E50"/>
    <w:pPr>
      <w:ind w:left="1440" w:hanging="240"/>
    </w:pPr>
  </w:style>
  <w:style w:type="paragraph" w:styleId="Index7">
    <w:name w:val="index 7"/>
    <w:basedOn w:val="Normal"/>
    <w:next w:val="Normal"/>
    <w:autoRedefine/>
    <w:rsid w:val="00E36E50"/>
    <w:pPr>
      <w:ind w:left="1680" w:hanging="240"/>
    </w:pPr>
  </w:style>
  <w:style w:type="paragraph" w:styleId="Index8">
    <w:name w:val="index 8"/>
    <w:basedOn w:val="Normal"/>
    <w:next w:val="Normal"/>
    <w:autoRedefine/>
    <w:rsid w:val="00E36E50"/>
    <w:pPr>
      <w:ind w:left="1920" w:hanging="240"/>
    </w:pPr>
  </w:style>
  <w:style w:type="paragraph" w:styleId="Index9">
    <w:name w:val="index 9"/>
    <w:basedOn w:val="Normal"/>
    <w:next w:val="Normal"/>
    <w:autoRedefine/>
    <w:rsid w:val="00E36E50"/>
    <w:pPr>
      <w:ind w:left="2160" w:hanging="240"/>
    </w:pPr>
  </w:style>
  <w:style w:type="paragraph" w:styleId="IndexHeading">
    <w:name w:val="index heading"/>
    <w:basedOn w:val="Normal"/>
    <w:next w:val="Index1"/>
    <w:rsid w:val="00E36E50"/>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E36E50"/>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E36E50"/>
    <w:rPr>
      <w:b/>
      <w:bCs/>
      <w:i/>
      <w:iCs/>
      <w:color w:val="4F81BD" w:themeColor="accent1"/>
      <w:sz w:val="24"/>
      <w:szCs w:val="24"/>
    </w:rPr>
  </w:style>
  <w:style w:type="paragraph" w:styleId="List">
    <w:name w:val="List"/>
    <w:basedOn w:val="Normal"/>
    <w:rsid w:val="00E36E50"/>
    <w:pPr>
      <w:ind w:left="360" w:hanging="360"/>
      <w:contextualSpacing/>
    </w:pPr>
  </w:style>
  <w:style w:type="paragraph" w:styleId="List2">
    <w:name w:val="List 2"/>
    <w:basedOn w:val="Normal"/>
    <w:rsid w:val="00E36E50"/>
    <w:pPr>
      <w:ind w:left="720" w:hanging="360"/>
      <w:contextualSpacing/>
    </w:pPr>
  </w:style>
  <w:style w:type="paragraph" w:styleId="List3">
    <w:name w:val="List 3"/>
    <w:basedOn w:val="Normal"/>
    <w:rsid w:val="00E36E50"/>
    <w:pPr>
      <w:ind w:left="1080" w:hanging="360"/>
      <w:contextualSpacing/>
    </w:pPr>
  </w:style>
  <w:style w:type="paragraph" w:styleId="List4">
    <w:name w:val="List 4"/>
    <w:basedOn w:val="Normal"/>
    <w:rsid w:val="00E36E50"/>
    <w:pPr>
      <w:ind w:left="1440" w:hanging="360"/>
      <w:contextualSpacing/>
    </w:pPr>
  </w:style>
  <w:style w:type="paragraph" w:styleId="List5">
    <w:name w:val="List 5"/>
    <w:basedOn w:val="Normal"/>
    <w:rsid w:val="00E36E50"/>
    <w:pPr>
      <w:ind w:left="1800" w:hanging="360"/>
      <w:contextualSpacing/>
    </w:pPr>
  </w:style>
  <w:style w:type="paragraph" w:styleId="ListBullet">
    <w:name w:val="List Bullet"/>
    <w:basedOn w:val="Normal"/>
    <w:rsid w:val="00E36E50"/>
    <w:pPr>
      <w:numPr>
        <w:numId w:val="12"/>
      </w:numPr>
      <w:contextualSpacing/>
    </w:pPr>
  </w:style>
  <w:style w:type="paragraph" w:styleId="ListBullet2">
    <w:name w:val="List Bullet 2"/>
    <w:basedOn w:val="Normal"/>
    <w:rsid w:val="00E36E50"/>
    <w:pPr>
      <w:numPr>
        <w:numId w:val="13"/>
      </w:numPr>
      <w:contextualSpacing/>
    </w:pPr>
  </w:style>
  <w:style w:type="paragraph" w:styleId="ListBullet3">
    <w:name w:val="List Bullet 3"/>
    <w:basedOn w:val="Normal"/>
    <w:rsid w:val="00E36E50"/>
    <w:pPr>
      <w:numPr>
        <w:numId w:val="14"/>
      </w:numPr>
      <w:contextualSpacing/>
    </w:pPr>
  </w:style>
  <w:style w:type="paragraph" w:styleId="ListBullet4">
    <w:name w:val="List Bullet 4"/>
    <w:basedOn w:val="Normal"/>
    <w:rsid w:val="00E36E50"/>
    <w:pPr>
      <w:numPr>
        <w:numId w:val="15"/>
      </w:numPr>
      <w:contextualSpacing/>
    </w:pPr>
  </w:style>
  <w:style w:type="paragraph" w:styleId="ListBullet5">
    <w:name w:val="List Bullet 5"/>
    <w:basedOn w:val="Normal"/>
    <w:rsid w:val="00E36E50"/>
    <w:pPr>
      <w:numPr>
        <w:numId w:val="16"/>
      </w:numPr>
      <w:contextualSpacing/>
    </w:pPr>
  </w:style>
  <w:style w:type="paragraph" w:styleId="ListContinue">
    <w:name w:val="List Continue"/>
    <w:basedOn w:val="Normal"/>
    <w:rsid w:val="00E36E50"/>
    <w:pPr>
      <w:spacing w:after="120"/>
      <w:ind w:left="360"/>
      <w:contextualSpacing/>
    </w:pPr>
  </w:style>
  <w:style w:type="paragraph" w:styleId="ListContinue2">
    <w:name w:val="List Continue 2"/>
    <w:basedOn w:val="Normal"/>
    <w:rsid w:val="00E36E50"/>
    <w:pPr>
      <w:spacing w:after="120"/>
      <w:ind w:left="720"/>
      <w:contextualSpacing/>
    </w:pPr>
  </w:style>
  <w:style w:type="paragraph" w:styleId="ListContinue3">
    <w:name w:val="List Continue 3"/>
    <w:basedOn w:val="Normal"/>
    <w:rsid w:val="00E36E50"/>
    <w:pPr>
      <w:spacing w:after="120"/>
      <w:ind w:left="1080"/>
      <w:contextualSpacing/>
    </w:pPr>
  </w:style>
  <w:style w:type="paragraph" w:styleId="ListContinue4">
    <w:name w:val="List Continue 4"/>
    <w:basedOn w:val="Normal"/>
    <w:rsid w:val="00E36E50"/>
    <w:pPr>
      <w:spacing w:after="120"/>
      <w:ind w:left="1440"/>
      <w:contextualSpacing/>
    </w:pPr>
  </w:style>
  <w:style w:type="paragraph" w:styleId="ListContinue5">
    <w:name w:val="List Continue 5"/>
    <w:basedOn w:val="Normal"/>
    <w:rsid w:val="00E36E50"/>
    <w:pPr>
      <w:spacing w:after="120"/>
      <w:ind w:left="1800"/>
      <w:contextualSpacing/>
    </w:pPr>
  </w:style>
  <w:style w:type="paragraph" w:styleId="ListNumber">
    <w:name w:val="List Number"/>
    <w:basedOn w:val="Normal"/>
    <w:rsid w:val="00E36E50"/>
    <w:pPr>
      <w:numPr>
        <w:numId w:val="17"/>
      </w:numPr>
      <w:contextualSpacing/>
    </w:pPr>
  </w:style>
  <w:style w:type="paragraph" w:styleId="ListNumber2">
    <w:name w:val="List Number 2"/>
    <w:basedOn w:val="Normal"/>
    <w:rsid w:val="00E36E50"/>
    <w:pPr>
      <w:numPr>
        <w:numId w:val="18"/>
      </w:numPr>
      <w:contextualSpacing/>
    </w:pPr>
  </w:style>
  <w:style w:type="paragraph" w:styleId="ListNumber3">
    <w:name w:val="List Number 3"/>
    <w:basedOn w:val="Normal"/>
    <w:rsid w:val="00E36E50"/>
    <w:pPr>
      <w:numPr>
        <w:numId w:val="19"/>
      </w:numPr>
      <w:contextualSpacing/>
    </w:pPr>
  </w:style>
  <w:style w:type="paragraph" w:styleId="ListNumber4">
    <w:name w:val="List Number 4"/>
    <w:basedOn w:val="Normal"/>
    <w:rsid w:val="00E36E50"/>
    <w:pPr>
      <w:numPr>
        <w:numId w:val="20"/>
      </w:numPr>
      <w:contextualSpacing/>
    </w:pPr>
  </w:style>
  <w:style w:type="paragraph" w:styleId="ListNumber5">
    <w:name w:val="List Number 5"/>
    <w:basedOn w:val="Normal"/>
    <w:rsid w:val="00E36E50"/>
    <w:pPr>
      <w:numPr>
        <w:numId w:val="21"/>
      </w:numPr>
      <w:contextualSpacing/>
    </w:pPr>
  </w:style>
  <w:style w:type="paragraph" w:styleId="MacroText">
    <w:name w:val="macro"/>
    <w:link w:val="MacroTextChar"/>
    <w:rsid w:val="00E36E50"/>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croTextChar">
    <w:name w:val="Macro Text Char"/>
    <w:basedOn w:val="DefaultParagraphFont"/>
    <w:link w:val="MacroText"/>
    <w:rsid w:val="00E36E50"/>
    <w:rPr>
      <w:rFonts w:ascii="Consolas" w:hAnsi="Consolas"/>
    </w:rPr>
  </w:style>
  <w:style w:type="paragraph" w:styleId="MessageHeader">
    <w:name w:val="Message Header"/>
    <w:basedOn w:val="Normal"/>
    <w:link w:val="MessageHeaderChar"/>
    <w:rsid w:val="00E36E50"/>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E36E50"/>
    <w:rPr>
      <w:rFonts w:asciiTheme="majorHAnsi" w:eastAsiaTheme="majorEastAsia" w:hAnsiTheme="majorHAnsi" w:cstheme="majorBidi"/>
      <w:sz w:val="24"/>
      <w:szCs w:val="24"/>
      <w:shd w:val="pct20" w:color="auto" w:fill="auto"/>
    </w:rPr>
  </w:style>
  <w:style w:type="paragraph" w:styleId="NoSpacing">
    <w:name w:val="No Spacing"/>
    <w:uiPriority w:val="1"/>
    <w:rsid w:val="00E36E50"/>
    <w:rPr>
      <w:sz w:val="24"/>
      <w:szCs w:val="24"/>
    </w:rPr>
  </w:style>
  <w:style w:type="paragraph" w:styleId="NormalWeb">
    <w:name w:val="Normal (Web)"/>
    <w:basedOn w:val="Normal"/>
    <w:uiPriority w:val="99"/>
    <w:rsid w:val="00E36E50"/>
  </w:style>
  <w:style w:type="paragraph" w:styleId="NormalIndent">
    <w:name w:val="Normal Indent"/>
    <w:basedOn w:val="Normal"/>
    <w:rsid w:val="00E36E50"/>
    <w:pPr>
      <w:ind w:left="720"/>
    </w:pPr>
  </w:style>
  <w:style w:type="paragraph" w:customStyle="1" w:styleId="NoteHeading1">
    <w:name w:val="Note Heading1"/>
    <w:basedOn w:val="Normal"/>
    <w:next w:val="Normal"/>
    <w:link w:val="NoteHeadingChar"/>
    <w:rsid w:val="00E36E50"/>
  </w:style>
  <w:style w:type="character" w:customStyle="1" w:styleId="NoteHeadingChar">
    <w:name w:val="Note Heading Char"/>
    <w:basedOn w:val="DefaultParagraphFont"/>
    <w:link w:val="NoteHeading1"/>
    <w:rsid w:val="00E36E50"/>
    <w:rPr>
      <w:sz w:val="24"/>
      <w:szCs w:val="24"/>
    </w:rPr>
  </w:style>
  <w:style w:type="paragraph" w:styleId="PlainText">
    <w:name w:val="Plain Text"/>
    <w:basedOn w:val="Normal"/>
    <w:link w:val="PlainTextChar"/>
    <w:rsid w:val="00E36E50"/>
    <w:rPr>
      <w:rFonts w:ascii="Consolas" w:hAnsi="Consolas"/>
      <w:sz w:val="21"/>
      <w:szCs w:val="21"/>
    </w:rPr>
  </w:style>
  <w:style w:type="character" w:customStyle="1" w:styleId="PlainTextChar">
    <w:name w:val="Plain Text Char"/>
    <w:basedOn w:val="DefaultParagraphFont"/>
    <w:link w:val="PlainText"/>
    <w:rsid w:val="00E36E50"/>
    <w:rPr>
      <w:rFonts w:ascii="Consolas" w:hAnsi="Consolas"/>
      <w:sz w:val="21"/>
      <w:szCs w:val="21"/>
    </w:rPr>
  </w:style>
  <w:style w:type="paragraph" w:styleId="Quote">
    <w:name w:val="Quote"/>
    <w:basedOn w:val="A"/>
    <w:next w:val="A"/>
    <w:link w:val="QuoteChar"/>
    <w:uiPriority w:val="29"/>
    <w:qFormat/>
    <w:rsid w:val="00C15FCE"/>
    <w:pPr>
      <w:spacing w:after="240" w:line="240" w:lineRule="auto"/>
      <w:ind w:left="1440" w:right="1440" w:firstLine="0"/>
    </w:pPr>
  </w:style>
  <w:style w:type="character" w:customStyle="1" w:styleId="QuoteChar">
    <w:name w:val="Quote Char"/>
    <w:basedOn w:val="DefaultParagraphFont"/>
    <w:link w:val="Quote"/>
    <w:uiPriority w:val="29"/>
    <w:rsid w:val="00C15FCE"/>
    <w:rPr>
      <w:sz w:val="24"/>
      <w:szCs w:val="24"/>
    </w:rPr>
  </w:style>
  <w:style w:type="paragraph" w:styleId="Salutation">
    <w:name w:val="Salutation"/>
    <w:basedOn w:val="Normal"/>
    <w:next w:val="Normal"/>
    <w:link w:val="SalutationChar"/>
    <w:rsid w:val="00E36E50"/>
  </w:style>
  <w:style w:type="character" w:customStyle="1" w:styleId="SalutationChar">
    <w:name w:val="Salutation Char"/>
    <w:basedOn w:val="DefaultParagraphFont"/>
    <w:link w:val="Salutation"/>
    <w:rsid w:val="00E36E50"/>
    <w:rPr>
      <w:sz w:val="24"/>
      <w:szCs w:val="24"/>
    </w:rPr>
  </w:style>
  <w:style w:type="paragraph" w:styleId="Signature">
    <w:name w:val="Signature"/>
    <w:basedOn w:val="Normal"/>
    <w:link w:val="SignatureChar"/>
    <w:rsid w:val="00E36E50"/>
    <w:pPr>
      <w:ind w:left="4320"/>
    </w:pPr>
  </w:style>
  <w:style w:type="character" w:customStyle="1" w:styleId="SignatureChar">
    <w:name w:val="Signature Char"/>
    <w:basedOn w:val="DefaultParagraphFont"/>
    <w:link w:val="Signature"/>
    <w:rsid w:val="00E36E50"/>
    <w:rPr>
      <w:sz w:val="24"/>
      <w:szCs w:val="24"/>
    </w:rPr>
  </w:style>
  <w:style w:type="paragraph" w:styleId="Subtitle">
    <w:name w:val="Subtitle"/>
    <w:basedOn w:val="Normal"/>
    <w:next w:val="Normal"/>
    <w:link w:val="SubtitleChar"/>
    <w:rsid w:val="00E36E50"/>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E36E50"/>
    <w:rPr>
      <w:rFonts w:asciiTheme="majorHAnsi" w:eastAsiaTheme="majorEastAsia" w:hAnsiTheme="majorHAnsi" w:cstheme="majorBidi"/>
      <w:i/>
      <w:iCs/>
      <w:color w:val="4F81BD" w:themeColor="accent1"/>
      <w:spacing w:val="15"/>
      <w:sz w:val="24"/>
      <w:szCs w:val="24"/>
    </w:rPr>
  </w:style>
  <w:style w:type="paragraph" w:customStyle="1" w:styleId="TXTestimony">
    <w:name w:val="TX Testimony"/>
    <w:rsid w:val="00AB027B"/>
    <w:pPr>
      <w:tabs>
        <w:tab w:val="left" w:pos="720"/>
      </w:tabs>
      <w:spacing w:line="480" w:lineRule="auto"/>
      <w:ind w:left="720" w:hanging="720"/>
      <w:jc w:val="both"/>
    </w:pPr>
    <w:rPr>
      <w:rFonts w:ascii="Arial" w:hAnsi="Arial"/>
      <w:sz w:val="24"/>
    </w:rPr>
  </w:style>
  <w:style w:type="paragraph" w:customStyle="1" w:styleId="Style1">
    <w:name w:val="Style1"/>
    <w:basedOn w:val="LPSCHeading1"/>
    <w:rsid w:val="00623E39"/>
    <w:pPr>
      <w:spacing w:after="120"/>
    </w:pPr>
  </w:style>
  <w:style w:type="paragraph" w:customStyle="1" w:styleId="Style2">
    <w:name w:val="Style2"/>
    <w:basedOn w:val="Style1"/>
    <w:rsid w:val="00623E39"/>
    <w:pPr>
      <w:spacing w:after="240"/>
      <w:ind w:left="4140"/>
    </w:pPr>
  </w:style>
  <w:style w:type="character" w:customStyle="1" w:styleId="Heading4Char">
    <w:name w:val="Heading 4 Char"/>
    <w:link w:val="Heading4"/>
    <w:rsid w:val="00C61918"/>
    <w:rPr>
      <w:b/>
      <w:bCs/>
      <w:sz w:val="28"/>
      <w:szCs w:val="28"/>
    </w:rPr>
  </w:style>
  <w:style w:type="character" w:customStyle="1" w:styleId="UnresolvedMention1">
    <w:name w:val="Unresolved Mention1"/>
    <w:basedOn w:val="DefaultParagraphFont"/>
    <w:uiPriority w:val="99"/>
    <w:semiHidden/>
    <w:unhideWhenUsed/>
    <w:rsid w:val="009B79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377983">
      <w:bodyDiv w:val="1"/>
      <w:marLeft w:val="0"/>
      <w:marRight w:val="0"/>
      <w:marTop w:val="0"/>
      <w:marBottom w:val="0"/>
      <w:divBdr>
        <w:top w:val="none" w:sz="0" w:space="0" w:color="auto"/>
        <w:left w:val="none" w:sz="0" w:space="0" w:color="auto"/>
        <w:bottom w:val="none" w:sz="0" w:space="0" w:color="auto"/>
        <w:right w:val="none" w:sz="0" w:space="0" w:color="auto"/>
      </w:divBdr>
    </w:div>
    <w:div w:id="1297293577">
      <w:bodyDiv w:val="1"/>
      <w:marLeft w:val="0"/>
      <w:marRight w:val="0"/>
      <w:marTop w:val="0"/>
      <w:marBottom w:val="0"/>
      <w:divBdr>
        <w:top w:val="none" w:sz="0" w:space="0" w:color="auto"/>
        <w:left w:val="none" w:sz="0" w:space="0" w:color="auto"/>
        <w:bottom w:val="none" w:sz="0" w:space="0" w:color="auto"/>
        <w:right w:val="none" w:sz="0" w:space="0" w:color="auto"/>
      </w:divBdr>
    </w:div>
    <w:div w:id="1682001408">
      <w:bodyDiv w:val="1"/>
      <w:marLeft w:val="0"/>
      <w:marRight w:val="0"/>
      <w:marTop w:val="0"/>
      <w:marBottom w:val="0"/>
      <w:divBdr>
        <w:top w:val="none" w:sz="0" w:space="0" w:color="auto"/>
        <w:left w:val="none" w:sz="0" w:space="0" w:color="auto"/>
        <w:bottom w:val="none" w:sz="0" w:space="0" w:color="auto"/>
        <w:right w:val="none" w:sz="0" w:space="0" w:color="auto"/>
      </w:divBdr>
    </w:div>
    <w:div w:id="1793210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emf"/><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645D0-BBDD-4FD0-A1FE-1F1F1EF07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4896</Words>
  <Characters>25520</Characters>
  <Application>Microsoft Office Word</Application>
  <DocSecurity>0</DocSecurity>
  <Lines>212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2021-09-13T20:40:00Z</dcterms:created>
  <dcterms:modified xsi:type="dcterms:W3CDTF">2021-09-13T20:41:00Z</dcterms:modified>
</cp:coreProperties>
</file>